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ff4ab8ea-5c81-4fad-9060-e5131f59dbd6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ff4ab8ea-5c81-4fad-9060-e5131f59dbd6"/>
      <w:r>
        <w:rPr/>
        <w:t xml:space="preserve">. </w:t>
      </w:r>
      <w:r>
        <w:t xml:space="preserve">Group effect (SZ vs. P) on each first-impression item from linear mixed models (H1).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64"/>
        <w:gridCol w:w="1969"/>
        <w:gridCol w:w="1080"/>
        <w:gridCol w:w="1080"/>
        <w:gridCol w:w="1080"/>
        <w:gridCol w:w="1080"/>
        <w:gridCol w:w="1080"/>
        <w:gridCol w:w="1888"/>
        <w:gridCol w:w="1080"/>
        <w:gridCol w:w="1080"/>
        <w:gridCol w:w="1080"/>
      </w:tblGrid>
      <w:tr>
        <w:trPr>
          <w:trHeight w:val="540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(BH)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Cohen's d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R² marg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R² cond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f²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Sympathique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-8.59 [-13.74, -3.43]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2.63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36.7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-3.27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.002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.003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 [-0.62, -0.15]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0.258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Bizarre inversed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-8.00 [-12.18, -3.82]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-3.76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-0.29 [-0.45, -0.14]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Intelligente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-7.15 [-10.90, -3.39]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-3.73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-0.37 [-0.57, -0.17]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Appreciable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-7.43 [-11.91, -2.95]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-3.25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-0.33 [-0.54, -0.13]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Confiance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-7.55 [-11.35, -3.76]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-3.90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-0.35 [-0.53, -0.17]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Dominante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1.54 [-6.61, 9.69]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.713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.713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 [-0.24, 0.34]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Conversation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-8.75 [-13.77, -3.72]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-3.41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-0.36 [-0.56, -0.15]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0.032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-7.79 [-12.78, -2.79]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-3.06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-0.32 [-0.53, -0.11]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Voisin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-7.42 [-11.64, -3.19]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-3.44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-0.31 [-0.49, -0.13]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</w:t>
            </w:r>
          </w:p>
        </w:tc>
      </w:tr>
      <w:tr>
        <w:trPr>
          <w:trHeight w:val="525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Assis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-8.49 [-13.32, -3.66]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2.46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37.5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-3.45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.001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.003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-0.34 [-0.53, -0.14]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0.313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Each row corresponds to a separate LMM: item ~ stim_group + (1 | obs_id) + (1 | vid). REML; Satterthwaite df.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β, estimated mean difference (SZ - P); Cohen's d, standardised mean difference (SZ - P); p (BH), Benjamini-Hochberg adjusted p-value across the 10 items. R² marginal and conditional are Nakagawa estimates.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2026-09-25T18:05:34Z</dcterms:modified>
  <cp:category/>
</cp:coreProperties>
</file>