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a73617e-fd0b-4740-98ba-e6e9c1799919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a73617e-fd0b-4740-98ba-e6e9c1799919"/>
      <w:r>
        <w:rPr/>
        <w:t xml:space="preserve">. </w:t>
      </w:r>
      <w:r>
        <w:t xml:space="preserve">Group difference on the aggregate movement score (overall PCA component) (H2).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4"/>
        <w:gridCol w:w="1233"/>
        <w:gridCol w:w="1294"/>
        <w:gridCol w:w="1483"/>
        <w:gridCol w:w="1080"/>
        <w:gridCol w:w="1080"/>
        <w:gridCol w:w="1080"/>
        <w:gridCol w:w="2669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 (SD),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 (SD), SZ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vs SZ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 (1.03)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-0.41 (0.80)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Cohen's d = 0.87 [0.21, 1.52]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Stimulus-level test (one value per stimulus). The aggregate score is standardised to unit SD; a positive effect size denotes more movement in P than in SZ.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Test auto-selected from normality (Shapiro-Wilk) and variance homogeneity (Levene).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2026-09-25T18:09:53Z</dcterms:modified>
  <cp:category/>
</cp:coreProperties>
</file>