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8f742d25-cb83-4926-9c3d-73d5c3a14288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8f742d25-cb83-4926-9c3d-73d5c3a14288"/>
      <w:r>
        <w:rPr/>
        <w:t xml:space="preserve">. </w:t>
      </w:r>
      <w:r>
        <w:t xml:space="preserve">Linear mixed model predicting the total first-impression score from group and overall movement jointly (H4).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61"/>
        <w:gridCol w:w="2071"/>
        <w:gridCol w:w="1080"/>
        <w:gridCol w:w="1080"/>
        <w:gridCol w:w="1080"/>
        <w:gridCol w:w="1080"/>
      </w:tblGrid>
      <w:tr>
        <w:trPr>
          <w:trHeight w:val="532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β (95% CI)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531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Group (SZ vs P)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-33.16 [-63.35, -2.98]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15.40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34.5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-2.15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.038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movement (PCA)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46.07 [30.63, 61.51]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7.88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36.0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5.85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Model: imp_total_score ~ stim_group + move_total_pc1 + (1 | obs_id) + (1 | vid). REML; Satterthwaite df. β for group is the SZ - P difference adjusting for movement; β for PC1 is per 1 SD of movement adjusting for group.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Whole-model effect sizes: marginal R2 = 0.108; conditional R2 = 0.357; f2 = 0.121.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879 evaluations from 91 observers and 39 videos. AIC = 11232.7; BIC = 11261.4; REML deviance = 11220.7.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2026-09-25T18:11:14Z</dcterms:modified>
  <cp:category/>
</cp:coreProperties>
</file>