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0962cd03-439b-4f79-8d8c-3f5d3a331788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0962cd03-439b-4f79-8d8c-3f5d3a331788"/>
      <w:r>
        <w:rPr/>
        <w:t xml:space="preserve">. </w:t>
      </w:r>
      <w:r>
        <w:t xml:space="preserve">Clinical characteristics of the SZ subgroup.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7"/>
        <w:gridCol w:w="1080"/>
        <w:gridCol w:w="1638"/>
        <w:gridCol w:w="2292"/>
        <w:gridCol w:w="1522"/>
        <w:gridCol w:w="1582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[Q1, Q3]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Shapiro-Wilk p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positive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10.67 (4.27)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9.00 [8.00, 13.50]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5.0 - 19.0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.337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negative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13.13 (4.17)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13.00 [11.00, 15.00]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7.0 - 23.0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.287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psychopathology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31.00 (6.99)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33.00 [25.50, 35.00]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20.0 - 41.0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.225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Diagnostic duration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9.16 (6.15)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8.00 [6.00, 11.00]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1.0 - 23.0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.090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Chlorpro mg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438.75 (319.69)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300.00 [200.00, 725.00]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100.0 - 1175.0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Q1, first quartile; Q3, third quartile. PANSS, Positive and Negative Syndrome Scale. chlorpro mg = chlorpromazine-equivalent daily dose.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2026-09-24T12:22:30Z</dcterms:modified>
  <cp:category/>
</cp:coreProperties>
</file>