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0e0a4ead-8c44-4006-ae98-578eb98c3f21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0e0a4ead-8c44-4006-ae98-578eb98c3f21"/>
      <w:r>
        <w:rPr/>
        <w:t xml:space="preserve">. </w:t>
      </w:r>
      <w:r>
        <w:t xml:space="preserve">Random-effect variance partition for the 10 item-level models.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64"/>
        <w:gridCol w:w="1743"/>
        <w:gridCol w:w="1466"/>
        <w:gridCol w:w="1687"/>
        <w:gridCol w:w="1080"/>
      </w:tblGrid>
      <w:tr>
        <w:trPr>
          <w:trHeight w:val="53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Observer var (%)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Video var (%)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Residual var (%)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ICC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Sympathique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12.7%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10.4%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77.0%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0.230</w:t>
            </w:r>
          </w:p>
        </w:tc>
      </w:tr>
      <w:tr>
        <w:trPr>
          <w:trHeight w:val="49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Bizarre inversed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21.6%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75.7%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Intelligente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18.3%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75.4%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0.246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Appreciable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18.8%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73.9%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0.261</w:t>
            </w:r>
          </w:p>
        </w:tc>
      </w:tr>
      <w:tr>
        <w:trPr>
          <w:trHeight w:val="496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Confiance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16.9%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78.5%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0.215</w:t>
            </w:r>
          </w:p>
        </w:tc>
      </w:tr>
      <w:tr>
        <w:trPr>
          <w:trHeight w:val="49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Dominante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17.4%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71.9%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0.281</w:t>
            </w:r>
          </w:p>
        </w:tc>
      </w:tr>
      <w:tr>
        <w:trPr>
          <w:trHeight w:val="49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Conversation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74.7%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0.253</w:t>
            </w:r>
          </w:p>
        </w:tc>
      </w:tr>
      <w:tr>
        <w:trPr>
          <w:trHeight w:val="51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19.8%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7.9%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72.3%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0.277</w:t>
            </w:r>
          </w:p>
        </w:tc>
      </w:tr>
      <w:tr>
        <w:trPr>
          <w:trHeight w:val="49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Voisin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21.8%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73.6%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0.264</w:t>
            </w:r>
          </w:p>
        </w:tc>
      </w:tr>
      <w:tr>
        <w:trPr>
          <w:trHeight w:val="491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Assis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23.1%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6.3%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70.6%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0.294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Each value is the percentage of the residual (unexplained) variance captured by the observer random intercept, the video random intercept, and the residual.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ICC = (observer + video) / total = proportion of variance attributable to the random intercepts.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2026-09-24T12:24:33Z</dcterms:modified>
  <cp:category/>
</cp:coreProperties>
</file>