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b74789f0-ae3c-4c80-9be5-16dffef68c7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b74789f0-ae3c-4c80-9be5-16dffef68c75"/>
      <w:r>
        <w:rPr/>
        <w:t xml:space="preserve">. </w:t>
      </w:r>
      <w:r>
        <w:t xml:space="preserve">PCA loadings and communalities (four movement features, standardised).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3"/>
        <w:gridCol w:w="1080"/>
        <w:gridCol w:w="185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Communality (h2)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0.910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0.704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Variance explained: 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Dominant component (PC1), oriented so higher = more movement and rescaled to unit SD, used as the overall movement score. Communalities (h2): variance of each feature captured by the retained component(s); salient loadings |.| &gt; 0.40.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2026-09-24T12:24:43Z</dcterms:modified>
  <cp:category/>
</cp:coreProperties>
</file>