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a4a4ca0e-c5cc-4d0a-bf97-220fd2a8151c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a4a4ca0e-c5cc-4d0a-bf97-220fd2a8151c"/>
      <w:r>
        <w:rPr/>
        <w:t xml:space="preserve">. </w:t>
      </w:r>
      <w:r>
        <w:t xml:space="preserve">Suitability of the movement features for PCA.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08"/>
        <w:gridCol w:w="1080"/>
      </w:tblGrid>
      <w:tr>
        <w:trPr>
          <w:trHeight w:val="496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Value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KMO (overall MSA)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0.763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Bartlett chi-square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133.4</w:t>
            </w:r>
          </w:p>
        </w:tc>
      </w:tr>
      <w:tr>
        <w:trPr>
          <w:trHeight w:val="496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Bartlett df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Bartlett p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 (stimuli)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KMO &gt; 0.60 acceptable, &gt; 0.80 good (per-variable MSA in kmo$MSAi). Bartlett's test of sphericity should be significant. Pearson correlation matrix.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2026-09-24T12:24:39Z</dcterms:modified>
  <cp:category/>
</cp:coreProperties>
</file>