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f9b57a07-0c01-4e58-9cd6-69b6f52aca69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f9b57a07-0c01-4e58-9cd6-69b6f52aca69"/>
      <w:r>
        <w:rPr/>
        <w:t xml:space="preserve">. </w:t>
      </w:r>
      <w:r>
        <w:t xml:space="preserve">Stimulus-level descriptive statistics for the four movement features, by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3"/>
        <w:gridCol w:w="1080"/>
        <w:gridCol w:w="1436"/>
        <w:gridCol w:w="1080"/>
        <w:gridCol w:w="1436"/>
        <w:gridCol w:w="1350"/>
      </w:tblGrid>
      <w:tr>
        <w:trPr>
          <w:trHeight w:val="52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summary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summary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Distribution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Hands, horizontal (QoM)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1.485 (0.990)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0.783 (0.557)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Hands, vertical (QoM)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1.573 (0.958)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0.893 (0.630)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Head, horizontal (QoM)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 (0.223)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0.257 (0.185)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Head, vertical (QoM)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0.559 (0.255)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0.489 (0.287)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(SD) for approximately normal variables; median [Q1, Q3] otherwise (Shapiro-Wilk within group, alpha = 0.05). QoM normalised by video duration (rate, per second).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2026-09-24T12:24:47Z</dcterms:modified>
  <cp:category/>
</cp:coreProperties>
</file>