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03bdc95b-71e2-4f1d-86a2-51069de4cae1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03bdc95b-71e2-4f1d-86a2-51069de4cae1"/>
      <w:r>
        <w:rPr/>
        <w:t xml:space="preserve">. </w:t>
      </w:r>
      <w:r>
        <w:t xml:space="preserve">Attenuation of the group difference in first impressions after adjusting for aggregate movement.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3"/>
        <w:gridCol w:w="2273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 effect (SZ -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 (group only)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-69.55 [-106.53, -32.57]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for movement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-34.56 [-64.66, -4.46]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.031</w:t>
            </w:r>
          </w:p>
        </w:tc>
      </w:tr>
      <w:tr>
        <w:trPr>
          <w:trHeight w:val="533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Attenuation of |β|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50.3%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reduction in the magnitude of the group coefficient when movement is added is consistent with movement partly accounting for (mediating) the group difference. Descriptive comparison, not a formal mediation test; group and movement are correlated at the stimulus level (see below).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2026-09-24T12:25:03Z</dcterms:modified>
  <cp:category/>
</cp:coreProperties>
</file>