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6c09069a-6b0f-4ea5-90aa-72d6b75c2566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6c09069a-6b0f-4ea5-90aa-72d6b75c2566"/>
      <w:r>
        <w:rPr/>
        <w:t xml:space="preserve">. </w:t>
      </w:r>
      <w:r>
        <w:t xml:space="preserve">Collinearity between group and aggregate movement in the joint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7"/>
        <w:gridCol w:w="1080"/>
      </w:tblGrid>
      <w:tr>
        <w:trPr>
          <w:trHeight w:val="525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Point-biserial r (group vs PC1)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-0.396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inflation factor (VIF)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</w:t>
            </w:r>
          </w:p>
        </w:tc>
      </w:tr>
      <w:tr>
        <w:trPr>
          <w:trHeight w:val="53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inflation factor (sqrt of VIF)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and movement are correlated because movement discriminates the groups. The VIF quantifies how much this inflates the standard errors of the two stimulus-level predictors and tempers the interpretation of their individual coefficients.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2026-09-24T12:25:05Z</dcterms:modified>
  <cp:category/>
</cp:coreProperties>
</file>