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3cfb0bea-7c67-4a0b-a6cd-e85620f42eb2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3cfb0bea-7c67-4a0b-a6cd-e85620f42eb2"/>
      <w:r>
        <w:rPr/>
        <w:t xml:space="preserve">. </w:t>
      </w:r>
      <w:r>
        <w:t xml:space="preserve">Cluster-bootstrap sensitivity analysis for the key fixed effects.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3"/>
        <w:gridCol w:w="1080"/>
        <w:gridCol w:w="1134"/>
        <w:gridCol w:w="1080"/>
        <w:gridCol w:w="1417"/>
        <w:gridCol w:w="1778"/>
        <w:gridCol w:w="1333"/>
      </w:tblGrid>
      <w:tr>
        <w:trPr>
          <w:trHeight w:val="530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β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 SE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 p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Bootstrap SE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Bootstrap 95% CI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Bootstrap p</w:t>
            </w:r>
          </w:p>
        </w:tc>
      </w:tr>
      <w:tr>
        <w:trPr>
          <w:trHeight w:val="531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Group (SZ - P): total-score model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-69.55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18.87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18.24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[-105.25, -33.93]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movement: movement model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52.67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7.60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[39.85, 64.81]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trHeight w:val="53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Group (SZ - P): group + movement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-34.56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15.36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.031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14.44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[-62.14, -6.85]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.020</w:t>
            </w:r>
          </w:p>
        </w:tc>
      </w:tr>
      <w:tr>
        <w:trPr>
          <w:trHeight w:val="529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movement: group + movement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45.59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7.84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6.33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[32.15, 57.18]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Non-parametric cluster bootstrap resampling whole video stimuli with replacement (1000 replicates); percentile 95% CIs and two-sided p-values. β is on the raw total-impression-score scale.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Agreement between the model-based and bootstrap columns indicates the conclusions are robust to the residual-variance (homoscedasticity) assumption and to the small number of stimuli.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Successful refits per model: at least 1000 of 1000 replicates.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2026-09-24T12:27:36Z</dcterms:modified>
  <cp:category/>
</cp:coreProperties>
</file>