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rPr/>
        <w:t xml:space="preserve">Table </w:t>
      </w:r>
      <w:bookmarkStart w:id="00f0660e-9723-44af-9d39-3c424362a034" w:name="table"/>
      <w:r>
        <w:rPr/>
        <w:fldChar w:fldCharType="begin" w:dirty="true"/>
      </w:r>
      <w:r>
        <w:rPr/>
        <w:instrText xml:space="preserve" w:dirty="true">SEQ tab \* Arabic</w:instrText>
      </w:r>
      <w:r>
        <w:rPr/>
        <w:fldChar w:fldCharType="end" w:dirty="true"/>
      </w:r>
      <w:bookmarkEnd w:id="00f0660e-9723-44af-9d39-3c424362a034"/>
      <w:r>
        <w:rPr/>
        <w:t xml:space="preserve">. </w:t>
      </w:r>
      <w:r>
        <w:t xml:space="preserve">Exploratory Spearman correlations between overall body movement and clinical variables (SZ subgroup).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247"/>
        <w:gridCol w:w="1080"/>
        <w:gridCol w:w="1807"/>
        <w:gridCol w:w="1080"/>
        <w:gridCol w:w="1080"/>
      </w:tblGrid>
      <w:tr>
        <w:trPr>
          <w:trHeight w:val="532" w:hRule="auto"/>
          <w:tblHeader/>
        </w:trPr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Clinical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ρ (95% CI)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 (BH)</w:t>
            </w:r>
          </w:p>
        </w:tc>
      </w:tr>
      <w:tr>
        <w:trPr>
          <w:trHeight w:val="525" w:hRule="auto"/>
        </w:trPr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Panss negative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-0.25 [-0.69, 0.33]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.398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.576</w:t>
            </w:r>
          </w:p>
        </w:tc>
      </w:tr>
      <w:tr>
        <w:trPr>
          <w:trHeight w:val="525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Panss positive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0.21 [-0.36, 0.67]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.461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.576</w:t>
            </w:r>
          </w:p>
        </w:tc>
      </w:tr>
      <w:tr>
        <w:trPr>
          <w:trHeight w:val="529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Panss psychopathology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-0.52 [-0.83, 0.01]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.055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.273</w:t>
            </w:r>
          </w:p>
        </w:tc>
      </w:tr>
      <w:tr>
        <w:trPr>
          <w:trHeight w:val="529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Diagnostic duration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-0.21 [-0.62, 0.28]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.392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.576</w:t>
            </w:r>
          </w:p>
        </w:tc>
      </w:tr>
      <w:tr>
        <w:trPr>
          <w:trHeight w:val="529" w:hRule="auto"/>
        </w:trPr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Chlorpro mg</w:t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</w:t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 [-0.45, 0.45]</w:t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.997</w:t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.997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10" w:space="0" w:color="40404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SZ subgroup only (one value per stimulus). Overall movement is the aggregate PCA component. 95% CIs from Fisher's z transformation.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 (BH): Benjamini-Hochberg adjusted p-value across the clinical variables. Exploratory.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2026-09-24T12:27:37Z</dcterms:modified>
  <cp:category/>
</cp:coreProperties>
</file>