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cea306dd-0404-429c-ab54-85872d2a2f94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cea306dd-0404-429c-ab54-85872d2a2f94"/>
      <w:r>
        <w:rPr/>
        <w:t xml:space="preserve">. </w:t>
      </w:r>
      <w:r>
        <w:t xml:space="preserve">Exploratory Spearman correlations between clinical variables and the total first-impression score (SZ subgroup).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47"/>
        <w:gridCol w:w="1080"/>
        <w:gridCol w:w="1868"/>
        <w:gridCol w:w="1080"/>
        <w:gridCol w:w="1080"/>
      </w:tblGrid>
      <w:tr>
        <w:trPr>
          <w:trHeight w:val="532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Clinical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ρ (95% CI)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(BH)</w:t>
            </w:r>
          </w:p>
        </w:tc>
      </w:tr>
      <w:tr>
        <w:trPr>
          <w:trHeight w:val="525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Panss negative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 [-0.51, 0.52]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.980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.980</w:t>
            </w:r>
          </w:p>
        </w:tc>
      </w:tr>
      <w:tr>
        <w:trPr>
          <w:trHeight w:val="52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Panss positive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 [-0.35, 0.64]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.480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.800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Panss psychopathology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-0.60 [-0.85, -0.13]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.017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.087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Diagnostic duration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 [-0.48, 0.43]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.906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.980</w:t>
            </w:r>
          </w:p>
        </w:tc>
      </w:tr>
      <w:tr>
        <w:trPr>
          <w:trHeight w:val="529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Chlorpro mg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-0.32 [-0.67, 0.15]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.173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.433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SZ subgroup only. The first-impression score is the per-stimulus mean of the total impression score across observers. 95% confidence intervals from Fisher's z transformation.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 (BH): Benjamini-Hochberg adjusted p-value across the clinical variables. Exploratory.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2026-09-24T12:27:44Z</dcterms:modified>
  <cp:category/>
</cp:coreProperties>
</file>