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3629b757-48fa-4b13-93dd-f2b1ac521d29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3629b757-48fa-4b13-93dd-f2b1ac521d29"/>
      <w:r>
        <w:rPr/>
        <w:t xml:space="preserve">. </w:t>
      </w:r>
      <w:r>
        <w:t xml:space="preserve">Cluster-bootstrap sensitivity analysis for the group effect on total impression score (H1).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5"/>
        <w:gridCol w:w="1080"/>
        <w:gridCol w:w="1134"/>
        <w:gridCol w:w="1080"/>
        <w:gridCol w:w="1417"/>
        <w:gridCol w:w="1778"/>
        <w:gridCol w:w="1333"/>
      </w:tblGrid>
      <w:tr>
        <w:trPr>
          <w:trHeight w:val="530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95% CI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p</w:t>
            </w:r>
          </w:p>
        </w:tc>
      </w:tr>
      <w:tr>
        <w:trPr>
          <w:trHeight w:val="531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 (SZ - P): total-score model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-69.55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18.87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18.24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[-105.25, -33.93]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Non-parametric cluster bootstrap resampling whole video stimuli with replacement (1000 replicates); percentile 95% CIs and two-sided p-values. β is on the raw total-impression-score scale.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Agreement between the model-based and bootstrap columns indicates the conclusions are robust to the residual-variance (homoscedasticity) assumption and to the small number of stimuli.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Successful refits per model: at least 1000 of 1000 replicates.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2026-09-28T19:43:05Z</dcterms:modified>
  <cp:category/>
</cp:coreProperties>
</file>