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rPr/>
        <w:t xml:space="preserve">Table </w:t>
      </w:r>
      <w:bookmarkStart w:id="1acb9d91-e411-4d93-b1a3-5384b0c45f4a" w:name="table"/>
      <w:r>
        <w:rPr/>
        <w:fldChar w:fldCharType="begin" w:dirty="true"/>
      </w:r>
      <w:r>
        <w:rPr/>
        <w:instrText xml:space="preserve" w:dirty="true">SEQ tab \* Arabic</w:instrText>
      </w:r>
      <w:r>
        <w:rPr/>
        <w:fldChar w:fldCharType="end" w:dirty="true"/>
      </w:r>
      <w:bookmarkEnd w:id="1acb9d91-e411-4d93-b1a3-5384b0c45f4a"/>
      <w:r>
        <w:rPr/>
        <w:t xml:space="preserve">. </w:t>
      </w:r>
      <w:r>
        <w:t xml:space="preserve">Collinearity between group and aggregate movement in the joint model (H4).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97"/>
        <w:gridCol w:w="1080"/>
      </w:tblGrid>
      <w:tr>
        <w:trPr>
          <w:trHeight w:val="525" w:hRule="auto"/>
          <w:tblHeader/>
        </w:trPr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Quantity</w:t>
            </w:r>
          </w:p>
        </w:tc>
        <w:tc>
          <w:tcPr>
            <w:tcBorders>
              <w:bottom w:val="single" w:sz="10" w:space="0" w:color="404040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true"/>
                <w:u w:val="none"/>
                <w:strike w:val="false"/>
                <w:sz w:val="20"/>
                <w:szCs w:val="20"/>
                <w:color w:val="000000"/>
              </w:rPr>
              <w:t xml:space="preserve">Value</w:t>
            </w:r>
          </w:p>
        </w:tc>
      </w:tr>
      <w:tr>
        <w:trPr>
          <w:trHeight w:val="532" w:hRule="auto"/>
        </w:trPr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Point-biserial r (group vs PC1)</w:t>
            </w:r>
          </w:p>
        </w:tc>
        <w:tc>
          <w:tcPr>
            <w:tcBorders>
              <w:bottom w:val="single" w:sz="4" w:space="0" w:color="D9D9D9"/>
              <w:top w:val="single" w:sz="10" w:space="0" w:color="40404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-0.408</w:t>
            </w:r>
          </w:p>
        </w:tc>
      </w:tr>
      <w:tr>
        <w:trPr>
          <w:trHeight w:val="530" w:hRule="auto"/>
        </w:trPr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Variance inflation factor (VIF)</w:t>
            </w:r>
          </w:p>
        </w:tc>
        <w:tc>
          <w:tcPr>
            <w:tcBorders>
              <w:bottom w:val="single" w:sz="4" w:space="0" w:color="D9D9D9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1.20</w:t>
            </w:r>
          </w:p>
        </w:tc>
      </w:tr>
      <w:tr>
        <w:trPr>
          <w:trHeight w:val="531" w:hRule="auto"/>
        </w:trPr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SE inflation factor (sqrt of VIF)</w:t>
            </w:r>
          </w:p>
        </w:tc>
        <w:tc>
          <w:tcPr>
            <w:tcBorders>
              <w:bottom w:val="single" w:sz="10" w:space="0" w:color="404040"/>
              <w:top w:val="single" w:sz="4" w:space="0" w:color="D9D9D9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80" w:before="80" w:line="240"/>
              <w:ind w:left="80" w:right="80" w:firstLine="0" w:firstLineChars="0"/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</w:pPr>
            <w:r>
              <w:rPr>
                <w:rFonts w:ascii="Calibri" w:hAnsi="Calibri" w:eastAsia="Calibri" w:cs="Calibri"/>
                <w:i w:val="false"/>
                <w:b w:val="false"/>
                <w:u w:val="none"/>
                <w:strike w:val="false"/>
                <w:sz w:val="20"/>
                <w:szCs w:val="20"/>
                <w:color w:val="000000"/>
              </w:rPr>
              <w:t xml:space="preserve">1.10</w:t>
            </w:r>
          </w:p>
        </w:tc>
      </w:tr>
      <w:tr>
        <w:trPr>
          <w:trHeight w:val="360" w:hRule="auto"/>
        </w:trPr>
        <w:tc>
          <w:tcPr>
            <w:gridSpan w:val="2"/>
            <w:tcBorders>
              <w:bottom w:val="none" w:sz="0" w:space="0" w:color="FFFFFF"/>
              <w:top w:val="single" w:sz="10" w:space="0" w:color="40404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tru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Group and movement are correlated because movement discriminates the groups. The VIF quantifies how much this inflates the standard errors of the two stimulus-level predictors and tempers the interpretation of their individual coefficients.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2026-09-28T19:27:13Z</dcterms:modified>
  <cp:category/>
</cp:coreProperties>
</file>