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a89fa7f8-69f4-4002-be2e-ad4ab8e13a9e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a89fa7f8-69f4-4002-be2e-ad4ab8e13a9e"/>
      <w:r>
        <w:rPr/>
        <w:t xml:space="preserve">. </w:t>
      </w:r>
      <w:r>
        <w:t xml:space="preserve">Cluster-bootstrap sensitivity analysis for the group and movement effects, jointly (H4).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23"/>
        <w:gridCol w:w="1080"/>
        <w:gridCol w:w="1134"/>
        <w:gridCol w:w="1080"/>
        <w:gridCol w:w="1417"/>
        <w:gridCol w:w="1778"/>
        <w:gridCol w:w="1333"/>
      </w:tblGrid>
      <w:tr>
        <w:trPr>
          <w:trHeight w:val="530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β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 SE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 p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Bootstrap SE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Bootstrap 95% CI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Bootstrap p</w:t>
            </w:r>
          </w:p>
        </w:tc>
      </w:tr>
      <w:tr>
        <w:trPr>
          <w:trHeight w:val="532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Group (SZ - P): group + movement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-33.16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15.40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.038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14.40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[-61.56, -7.14]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.020</w:t>
            </w:r>
          </w:p>
        </w:tc>
      </w:tr>
      <w:tr>
        <w:trPr>
          <w:trHeight w:val="529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Overall movement: group + movement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46.07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7.88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6.32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[32.86, 58.32]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Non-parametric cluster bootstrap resampling whole video stimuli with replacement (1000 replicates); percentile 95% CIs and two-sided p-values. β is on the raw total-impression-score scale.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Agreement between the model-based and bootstrap columns indicates the conclusions are robust to the residual-variance (homoscedasticity) assumption and to the small number of stimuli.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Successful refits per model: at least 1000 of 1000 replicates.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2026-09-28T19:43:09Z</dcterms:modified>
  <cp:category/>
</cp:coreProperties>
</file>