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6bc2f41e-3fc8-421c-8cb4-82b53b56e031" w:name="table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6bc2f41e-3fc8-421c-8cb4-82b53b56e031"/>
      <w:r>
        <w:rPr/>
        <w:t xml:space="preserve">. </w:t>
      </w:r>
      <w:r>
        <w:t xml:space="preserve">Descriptive statistics of the first-impression scores by group.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90"/>
        <w:gridCol w:w="1080"/>
        <w:gridCol w:w="1638"/>
        <w:gridCol w:w="2292"/>
        <w:gridCol w:w="1080"/>
        <w:gridCol w:w="1638"/>
        <w:gridCol w:w="2292"/>
      </w:tblGrid>
      <w:tr>
        <w:trPr>
          <w:trHeight w:val="531" w:hRule="auto"/>
          <w:tblHeader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 n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 mean (SD)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 median [IQR]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SZ n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SZ mean (SD)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SZ median [IQR]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impression score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455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560.57 (160.69)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562.00 [456.00, 680.00]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455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489.65 (160.02)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498.00 [383.50, 607.00]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Sympathique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61.12 (21.78)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63.00 [49.00, 77.00]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52.65 (22.68)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52.00 [38.50, 69.00]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Bizarre inversed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64.87 (26.87)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68.00 [50.00, 88.00]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56.80 (27.87)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54.00 [36.50, 81.00]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Intelligente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60.24 (19.64)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58.00 [50.00, 73.00]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52.93 (19.11)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52.00 [46.00, 64.00]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Appreciable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60.36 (21.32)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61.00 [49.00, 74.00]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53.02 (22.87)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53.00 [39.00, 69.00]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Confiance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54.28 (20.58)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52.00 [42.00, 68.00]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46.81 (22.43)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50.00 [31.00, 60.00]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Dominante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41.29 (28.38)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42.00 [16.00, 64.00]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41.68 (28.99)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38.00 [17.00, 64.00]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Conversation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53.46 (24.24)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53.00 [36.00, 70.50]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44.61 (24.60)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48.00 [25.00, 61.00]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Temps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50.13 (24.11)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52.00 [33.50, 67.50]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42.08 (23.89)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44.00 [24.00, 58.00]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Voisin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55.13 (23.52)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54.00 [43.00, 71.50]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47.71 (24.64)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50.00 [31.00, 65.50]</w:t>
            </w:r>
          </w:p>
        </w:tc>
      </w:tr>
      <w:tr>
        <w:trPr>
          <w:trHeight w:val="530" w:hRule="auto"/>
        </w:trPr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Assis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455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59.69 (24.65)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61.00 [45.50, 78.00]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455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51.36 (25.61)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51.00 [32.00, 71.50]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10" w:space="0" w:color="40404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Evaluation-level data (one row per observer x video). n is the number of evaluations contributing to each group.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Values are descriptive; the group difference is tested with a linear mixed model accounting for the observer x video structure (see H1).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2026-09-28T16:40:16Z</dcterms:modified>
  <cp:category/>
</cp:coreProperties>
</file>