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/>
        <w:t xml:space="preserve">Table </w:t>
      </w:r>
      <w:bookmarkStart w:id="5b3e919f-b867-445e-a7a2-9c110d233aee" w:name="table"/>
      <w:r>
        <w:rPr/>
        <w:fldChar w:fldCharType="begin" w:dirty="true"/>
      </w:r>
      <w:r>
        <w:rPr/>
        <w:instrText xml:space="preserve" w:dirty="true">SEQ tab \* Arabic</w:instrText>
      </w:r>
      <w:r>
        <w:rPr/>
        <w:fldChar w:fldCharType="end" w:dirty="true"/>
      </w:r>
      <w:bookmarkEnd w:id="5b3e919f-b867-445e-a7a2-9c110d233aee"/>
      <w:r>
        <w:rPr/>
        <w:t xml:space="preserve">. </w:t>
      </w:r>
      <w:r>
        <w:t xml:space="preserve">Eigenvalues and variance explained.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333"/>
        <w:gridCol w:w="1257"/>
        <w:gridCol w:w="1252"/>
        <w:gridCol w:w="1493"/>
      </w:tblGrid>
      <w:tr>
        <w:trPr>
          <w:trHeight w:val="529" w:hRule="auto"/>
          <w:tblHeader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Component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Eigenvalue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% variance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Cumulative %</w:t>
            </w:r>
          </w:p>
        </w:tc>
      </w:tr>
      <w:tr>
        <w:trPr>
          <w:trHeight w:val="491" w:hRule="auto"/>
        </w:trPr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PC1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3.043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76.1%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76.1%</w:t>
            </w:r>
          </w:p>
        </w:tc>
      </w:tr>
      <w:tr>
        <w:trPr>
          <w:trHeight w:val="491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PC2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0.476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11.9%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88.0%</w:t>
            </w:r>
          </w:p>
        </w:tc>
      </w:tr>
      <w:tr>
        <w:trPr>
          <w:trHeight w:val="491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PC3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0.426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10.7%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98.6%</w:t>
            </w:r>
          </w:p>
        </w:tc>
      </w:tr>
      <w:tr>
        <w:trPr>
          <w:trHeight w:val="491" w:hRule="auto"/>
        </w:trPr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PC4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0.054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1.4%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100.0%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single" w:sz="10" w:space="0" w:color="40404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Components retained using the Kaiser criterion (eigenvalue &gt; 1): 1; parallel analysis suggests: 1. Rotation: none.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2026-09-28T19:15:12Z</dcterms:modified>
  <cp:category/>
</cp:coreProperties>
</file>