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91304cc7-fe7e-4d24-a3de-caa5d10301b3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91304cc7-fe7e-4d24-a3de-caa5d10301b3"/>
      <w:r>
        <w:rPr/>
        <w:t xml:space="preserve">. </w:t>
      </w:r>
      <w:r>
        <w:t xml:space="preserve">Linear mixed model for the total first-impression score (H1).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0"/>
        <w:gridCol w:w="2204"/>
        <w:gridCol w:w="2273"/>
        <w:gridCol w:w="1080"/>
        <w:gridCol w:w="1080"/>
        <w:gridCol w:w="1080"/>
        <w:gridCol w:w="1080"/>
        <w:gridCol w:w="1888"/>
        <w:gridCol w:w="1314"/>
        <w:gridCol w:w="1519"/>
        <w:gridCol w:w="1080"/>
      </w:tblGrid>
      <w:tr>
        <w:trPr>
          <w:trHeight w:val="540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Cohen's d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R² marginal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R² conditional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f²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impression score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SZ vs. P (P = reference)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-69.55 [-106.53, -32.57]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18.87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36.5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-3.69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-0.43 [-0.67, -0.20]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0.362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Model: imp_total_score ~ stim_group + (1 | obs_id) + (1 | vid). REML estimation; Satterthwaite denominator df.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β, estimated mean difference (SZ - P); CI, confidence interval; Cohen's d, adjusted mean difference (SZ - P) standardised by the total SD (observer + video + residual); R² marginal, variance explained by fixed effects (Nakagawa); R² conditional, variance explained by fixed + random effects; f² = R²marg / (1 - R²marg).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910 evaluations from 91 observers and 40 videos. AIC = 11653.9; BIC = 11678.0; REML deviance = 11643.9.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2026-10-01T18:59:11Z</dcterms:modified>
  <cp:category/>
</cp:coreProperties>
</file>