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rPr/>
        <w:t xml:space="preserve">Table </w:t>
      </w:r>
      <w:bookmarkStart w:id="6f28feef-47e6-454d-aab0-b19475c1f1ac" w:name="table"/>
      <w:r>
        <w:rPr/>
        <w:fldChar w:fldCharType="begin" w:dirty="true"/>
      </w:r>
      <w:r>
        <w:rPr/>
        <w:instrText xml:space="preserve" w:dirty="true">SEQ tab \* Arabic</w:instrText>
      </w:r>
      <w:r>
        <w:rPr/>
        <w:fldChar w:fldCharType="end" w:dirty="true"/>
      </w:r>
      <w:bookmarkEnd w:id="6f28feef-47e6-454d-aab0-b19475c1f1ac"/>
      <w:r>
        <w:rPr/>
        <w:t xml:space="preserve">. </w:t>
      </w:r>
      <w:r>
        <w:t xml:space="preserve">Random-effect variance partition for the PC1 movement model (H3).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637"/>
        <w:gridCol w:w="1219"/>
        <w:gridCol w:w="1080"/>
        <w:gridCol w:w="2931"/>
      </w:tblGrid>
      <w:tr>
        <w:trPr>
          <w:trHeight w:val="528" w:hRule="auto"/>
          <w:tblHeader/>
        </w:trPr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Random component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Variance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SD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% of residual+random variance</w:t>
            </w:r>
          </w:p>
        </w:tc>
      </w:tr>
      <w:tr>
        <w:trPr>
          <w:trHeight w:val="532" w:hRule="auto"/>
        </w:trPr>
        <w:tc>
          <w:tcPr>
            <w:tcBorders>
              <w:bottom w:val="single" w:sz="4" w:space="0" w:color="D9D9D9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obs_id (random intercept)</w:t>
            </w:r>
          </w:p>
        </w:tc>
        <w:tc>
          <w:tcPr>
            <w:tcBorders>
              <w:bottom w:val="single" w:sz="4" w:space="0" w:color="D9D9D9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5666.924</w:t>
            </w:r>
          </w:p>
        </w:tc>
        <w:tc>
          <w:tcPr>
            <w:tcBorders>
              <w:bottom w:val="single" w:sz="4" w:space="0" w:color="D9D9D9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75.279</w:t>
            </w:r>
          </w:p>
        </w:tc>
        <w:tc>
          <w:tcPr>
            <w:tcBorders>
              <w:bottom w:val="single" w:sz="4" w:space="0" w:color="D9D9D9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23.1%</w:t>
            </w:r>
          </w:p>
        </w:tc>
      </w:tr>
      <w:tr>
        <w:trPr>
          <w:trHeight w:val="531" w:hRule="auto"/>
        </w:trPr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vid (random intercept)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1335.478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36.544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5.5%</w:t>
            </w:r>
          </w:p>
        </w:tc>
      </w:tr>
      <w:tr>
        <w:trPr>
          <w:trHeight w:val="530" w:hRule="auto"/>
        </w:trPr>
        <w:tc>
          <w:tcPr>
            <w:tcBorders>
              <w:bottom w:val="single" w:sz="10" w:space="0" w:color="404040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Residual (within-evaluation)</w:t>
            </w:r>
          </w:p>
        </w:tc>
        <w:tc>
          <w:tcPr>
            <w:tcBorders>
              <w:bottom w:val="single" w:sz="10" w:space="0" w:color="404040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17477.596</w:t>
            </w:r>
          </w:p>
        </w:tc>
        <w:tc>
          <w:tcPr>
            <w:tcBorders>
              <w:bottom w:val="single" w:sz="10" w:space="0" w:color="404040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132.203</w:t>
            </w:r>
          </w:p>
        </w:tc>
        <w:tc>
          <w:tcPr>
            <w:tcBorders>
              <w:bottom w:val="single" w:sz="10" w:space="0" w:color="404040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71.4%</w:t>
            </w:r>
          </w:p>
        </w:tc>
      </w:tr>
      <w:tr>
        <w:trPr>
          <w:trHeight w:val="360" w:hRule="auto"/>
        </w:trPr>
        <w:tc>
          <w:tcPr>
            <w:gridSpan w:val="4"/>
            <w:tcBorders>
              <w:bottom w:val="none" w:sz="0" w:space="0" w:color="FFFFFF"/>
              <w:top w:val="single" w:sz="10" w:space="0" w:color="40404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Random intercepts: observer (obs_id) and video (vid).</w:t>
            </w:r>
          </w:p>
        </w:tc>
      </w:tr>
      <w:tr>
        <w:trPr>
          <w:trHeight w:val="360" w:hRule="auto"/>
        </w:trPr>
        <w:tc>
          <w:tcPr>
            <w:gridSpan w:val="4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ICC = 0.286: proportion of the residual (unexplained) variance captured jointly by the observer and video random intercepts.</w:t>
            </w:r>
          </w:p>
        </w:tc>
      </w:tr>
      <w:tr>
        <w:trPr>
          <w:trHeight w:val="360" w:hRule="auto"/>
        </w:trPr>
        <w:tc>
          <w:tcPr>
            <w:gridSpan w:val="4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Marginal R2 = 0.100 (fixed effects); conditional R2 = 0.357 (fixed + random). The random structure adds 0.257 of explained variance beyond the fixed effects.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2026-10-01T19:00:54Z</dcterms:modified>
  <cp:category/>
</cp:coreProperties>
</file>