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fb96a6d1-2718-44f0-b433-72be0699f427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fb96a6d1-2718-44f0-b433-72be0699f427"/>
      <w:r>
        <w:rPr/>
        <w:t xml:space="preserve">. </w:t>
      </w:r>
      <w:r>
        <w:t xml:space="preserve">Cluster-bootstrap sensitivity analysis for the overall-movement effect (H3).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15"/>
        <w:gridCol w:w="1080"/>
        <w:gridCol w:w="1134"/>
        <w:gridCol w:w="1080"/>
        <w:gridCol w:w="1417"/>
        <w:gridCol w:w="1778"/>
        <w:gridCol w:w="1333"/>
      </w:tblGrid>
      <w:tr>
        <w:trPr>
          <w:trHeight w:val="530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 SE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 p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Bootstrap SE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Bootstrap 95% CI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Bootstrap p</w:t>
            </w:r>
          </w:p>
        </w:tc>
      </w:tr>
      <w:tr>
        <w:trPr>
          <w:trHeight w:val="525" w:hRule="auto"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movement: movement model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53.06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7.55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6.35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[40.36, 64.97]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Non-parametric cluster bootstrap resampling whole video stimuli with replacement (1000 replicates); percentile 95% CIs and two-sided p-values. β is on the raw total-impression-score scale.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Agreement between the model-based and bootstrap columns indicates the conclusions are robust to the residual-variance (homoscedasticity) assumption and to the small number of stimuli.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Successful refits per model: at least 1000 of 1000 replicates.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2026-10-01T19:03:46Z</dcterms:modified>
  <cp:category/>
</cp:coreProperties>
</file>