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rPr/>
        <w:t xml:space="preserve">Table </w:t>
      </w:r>
      <w:bookmarkStart w:id="f7f3be67-9ce6-4874-9db1-4f063736601b" w:name="table"/>
      <w:r>
        <w:rPr/>
        <w:fldChar w:fldCharType="begin" w:dirty="true"/>
      </w:r>
      <w:r>
        <w:rPr/>
        <w:instrText xml:space="preserve" w:dirty="true">SEQ tab \* Arabic</w:instrText>
      </w:r>
      <w:r>
        <w:rPr/>
        <w:fldChar w:fldCharType="end" w:dirty="true"/>
      </w:r>
      <w:bookmarkEnd w:id="f7f3be67-9ce6-4874-9db1-4f063736601b"/>
      <w:r>
        <w:rPr/>
        <w:t xml:space="preserve">. </w:t>
      </w:r>
      <w:r>
        <w:t xml:space="preserve">Attenuation of the group difference in first impressions after adjusting for aggregate movement (H4).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86"/>
        <w:gridCol w:w="2273"/>
        <w:gridCol w:w="1080"/>
      </w:tblGrid>
      <w:tr>
        <w:trPr>
          <w:trHeight w:val="532" w:hRule="auto"/>
          <w:tblHeader/>
        </w:trPr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Group effect (SZ - P)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β (95% CI)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</w:t>
            </w:r>
          </w:p>
        </w:tc>
      </w:tr>
      <w:tr>
        <w:trPr>
          <w:trHeight w:val="532" w:hRule="auto"/>
        </w:trPr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Unadjusted (group only, H1)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-69.55 [-106.53, -32.57]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&lt;.001</w:t>
            </w:r>
          </w:p>
        </w:tc>
      </w:tr>
      <w:tr>
        <w:trPr>
          <w:trHeight w:val="532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Adjusted for movement (H4)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-33.16 [-63.35, -2.98]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.038</w:t>
            </w:r>
          </w:p>
        </w:tc>
      </w:tr>
      <w:tr>
        <w:trPr>
          <w:trHeight w:val="533" w:hRule="auto"/>
        </w:trPr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Attenuation of |β|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52.3%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3"/>
            <w:tcBorders>
              <w:bottom w:val="none" w:sz="0" w:space="0" w:color="FFFFFF"/>
              <w:top w:val="single" w:sz="10" w:space="0" w:color="40404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 reduction in the magnitude of the group coefficient when movement is added is consistent with movement partly accounting for (mediating) the group difference. Descriptive comparison, not a formal mediation test; group and movement are correlated at the stimulus level (see below).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2026-10-01T19:01:02Z</dcterms:modified>
  <cp:category/>
</cp:coreProperties>
</file>