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rPr/>
        <w:t xml:space="preserve">Table </w:t>
      </w:r>
      <w:bookmarkStart w:id="5b3b5496-0607-43bc-b296-ad75beacee2b" w:name="table"/>
      <w:r>
        <w:rPr/>
        <w:fldChar w:fldCharType="begin" w:dirty="true"/>
      </w:r>
      <w:r>
        <w:rPr/>
        <w:instrText xml:space="preserve" w:dirty="true">SEQ tab \* Arabic</w:instrText>
      </w:r>
      <w:r>
        <w:rPr/>
        <w:fldChar w:fldCharType="end" w:dirty="true"/>
      </w:r>
      <w:bookmarkEnd w:id="5b3b5496-0607-43bc-b296-ad75beacee2b"/>
      <w:r>
        <w:rPr/>
        <w:t xml:space="preserve">. </w:t>
      </w:r>
      <w:r>
        <w:t xml:space="preserve">PCA loadings and communalities (four movement features, standardised).</w:t>
      </w:r>
    </w:p>
    <w:tbl xmlns:a="http://schemas.openxmlformats.org/drawingml/2006/main" xmlns:pic="http://schemas.openxmlformats.org/drawingml/2006/picture">
      <w:tblPr>
        <w:tblLayout w:type="fixed"/>
        <w:jc w:val="center"/>
        <w:tblLook w:firstRow="1" w:lastRow="0" w:firstColumn="0" w:lastColumn="0" w:noHBand="0" w:noVBand="1"/>
      </w:tblPr>
      <w:tblGrid>
        <w:gridCol w:w="2363"/>
        <w:gridCol w:w="1080"/>
        <w:gridCol w:w="1850"/>
      </w:tblGrid>
      <w:tr>
        <w:trPr>
          <w:trHeight w:val="532" w:hRule="auto"/>
          <w:tblHeader/>
        </w:trPr>
        <w:tc>
          <w:tcPr>
            <w:tcBorders>
              <w:bottom w:val="single" w:sz="10" w:space="0" w:color="404040"/>
              <w:top w:val="single" w:sz="10" w:space="0" w:color="40404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Feature</w:t>
            </w:r>
          </w:p>
        </w:tc>
        <w:tc>
          <w:tcPr>
            <w:tcBorders>
              <w:bottom w:val="single" w:sz="10" w:space="0" w:color="404040"/>
              <w:top w:val="single" w:sz="10" w:space="0" w:color="40404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PC1</w:t>
            </w:r>
          </w:p>
        </w:tc>
        <w:tc>
          <w:tcPr>
            <w:tcBorders>
              <w:bottom w:val="single" w:sz="10" w:space="0" w:color="404040"/>
              <w:top w:val="single" w:sz="10" w:space="0" w:color="40404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true"/>
                <w:u w:val="none"/>
                <w:strike w:val="false"/>
                <w:sz w:val="20"/>
                <w:szCs w:val="20"/>
                <w:color w:val="000000"/>
              </w:rPr>
            </w:pPr>
            <w:r>
              <w:rPr>
                <w:rFonts w:ascii="Calibri" w:hAnsi="Calibri" w:eastAsia="Calibri" w:cs="Calibri"/>
                <w:i w:val="false"/>
                <w:b w:val="true"/>
                <w:u w:val="none"/>
                <w:strike w:val="false"/>
                <w:sz w:val="20"/>
                <w:szCs w:val="20"/>
                <w:color w:val="000000"/>
              </w:rPr>
              <w:t xml:space="preserve">Communality (h2)</w:t>
            </w:r>
          </w:p>
        </w:tc>
      </w:tr>
      <w:tr>
        <w:trPr>
          <w:trHeight w:val="530" w:hRule="auto"/>
        </w:trPr>
        <w:tc>
          <w:tcPr>
            <w:tcBorders>
              <w:bottom w:val="single" w:sz="4" w:space="0" w:color="D9D9D9"/>
              <w:top w:val="single" w:sz="10" w:space="0" w:color="40404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Hands, horizontal (QoM)</w:t>
            </w:r>
          </w:p>
        </w:tc>
        <w:tc>
          <w:tcPr>
            <w:tcBorders>
              <w:bottom w:val="single" w:sz="4" w:space="0" w:color="D9D9D9"/>
              <w:top w:val="single" w:sz="10" w:space="0" w:color="40404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0.924</w:t>
            </w:r>
          </w:p>
        </w:tc>
        <w:tc>
          <w:tcPr>
            <w:tcBorders>
              <w:bottom w:val="single" w:sz="4" w:space="0" w:color="D9D9D9"/>
              <w:top w:val="single" w:sz="10" w:space="0" w:color="40404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0.854</w:t>
            </w:r>
          </w:p>
        </w:tc>
      </w:tr>
      <w:tr>
        <w:trPr>
          <w:trHeight w:val="530" w:hRule="auto"/>
        </w:trPr>
        <w:tc>
          <w:tcPr>
            <w:tcBorders>
              <w:bottom w:val="single" w:sz="4" w:space="0" w:color="D9D9D9"/>
              <w:top w:val="single" w:sz="4" w:space="0" w:color="D9D9D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Hands, vertical (QoM)</w:t>
            </w:r>
          </w:p>
        </w:tc>
        <w:tc>
          <w:tcPr>
            <w:tcBorders>
              <w:bottom w:val="single" w:sz="4" w:space="0" w:color="D9D9D9"/>
              <w:top w:val="single" w:sz="4" w:space="0" w:color="D9D9D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0.941</w:t>
            </w:r>
          </w:p>
        </w:tc>
        <w:tc>
          <w:tcPr>
            <w:tcBorders>
              <w:bottom w:val="single" w:sz="4" w:space="0" w:color="D9D9D9"/>
              <w:top w:val="single" w:sz="4" w:space="0" w:color="D9D9D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0.886</w:t>
            </w:r>
          </w:p>
        </w:tc>
      </w:tr>
      <w:tr>
        <w:trPr>
          <w:trHeight w:val="530" w:hRule="auto"/>
        </w:trPr>
        <w:tc>
          <w:tcPr>
            <w:tcBorders>
              <w:bottom w:val="single" w:sz="4" w:space="0" w:color="D9D9D9"/>
              <w:top w:val="single" w:sz="4" w:space="0" w:color="D9D9D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Head, horizontal (QoM)</w:t>
            </w:r>
          </w:p>
        </w:tc>
        <w:tc>
          <w:tcPr>
            <w:tcBorders>
              <w:bottom w:val="single" w:sz="4" w:space="0" w:color="D9D9D9"/>
              <w:top w:val="single" w:sz="4" w:space="0" w:color="D9D9D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0.802</w:t>
            </w:r>
          </w:p>
        </w:tc>
        <w:tc>
          <w:tcPr>
            <w:tcBorders>
              <w:bottom w:val="single" w:sz="4" w:space="0" w:color="D9D9D9"/>
              <w:top w:val="single" w:sz="4" w:space="0" w:color="D9D9D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0.642</w:t>
            </w:r>
          </w:p>
        </w:tc>
      </w:tr>
      <w:tr>
        <w:trPr>
          <w:trHeight w:val="530" w:hRule="auto"/>
        </w:trPr>
        <w:tc>
          <w:tcPr>
            <w:tcBorders>
              <w:bottom w:val="single" w:sz="10" w:space="0" w:color="404040"/>
              <w:top w:val="single" w:sz="4" w:space="0" w:color="D9D9D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Head, vertical (QoM)</w:t>
            </w:r>
          </w:p>
        </w:tc>
        <w:tc>
          <w:tcPr>
            <w:tcBorders>
              <w:bottom w:val="single" w:sz="10" w:space="0" w:color="404040"/>
              <w:top w:val="single" w:sz="4" w:space="0" w:color="D9D9D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0.813</w:t>
            </w:r>
          </w:p>
        </w:tc>
        <w:tc>
          <w:tcPr>
            <w:tcBorders>
              <w:bottom w:val="single" w:sz="10" w:space="0" w:color="404040"/>
              <w:top w:val="single" w:sz="4" w:space="0" w:color="D9D9D9"/>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Calibri" w:hAnsi="Calibri" w:eastAsia="Calibri" w:cs="Calibri"/>
                <w:i w:val="false"/>
                <w:b w:val="false"/>
                <w:u w:val="none"/>
                <w:strike w:val="false"/>
                <w:sz w:val="20"/>
                <w:szCs w:val="20"/>
                <w:color w:val="000000"/>
              </w:rPr>
            </w:pPr>
            <w:r>
              <w:rPr>
                <w:rFonts w:ascii="Calibri" w:hAnsi="Calibri" w:eastAsia="Calibri" w:cs="Calibri"/>
                <w:i w:val="false"/>
                <w:b w:val="false"/>
                <w:u w:val="none"/>
                <w:strike w:val="false"/>
                <w:sz w:val="20"/>
                <w:szCs w:val="20"/>
                <w:color w:val="000000"/>
              </w:rPr>
              <w:t xml:space="preserve">0.661</w:t>
            </w:r>
          </w:p>
        </w:tc>
      </w:tr>
      <w:tr>
        <w:trPr>
          <w:trHeight w:val="360" w:hRule="auto"/>
        </w:trPr>
        <w:tc>
          <w:tcPr>
            <w:gridSpan w:val="3"/>
            <w:tcBorders>
              <w:bottom w:val="none" w:sz="0" w:space="0" w:color="FFFFFF"/>
              <w:top w:val="single" w:sz="10" w:space="0" w:color="40404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8"/>
                <w:szCs w:val="18"/>
                <w:color w:val="000000"/>
              </w:rPr>
            </w:pPr>
            <w:r>
              <w:rPr>
                <w:rFonts w:ascii="Arial" w:hAnsi="Arial" w:eastAsia="Arial" w:cs="Arial"/>
                <w:i w:val="true"/>
                <w:b w:val="false"/>
                <w:u w:val="none"/>
                <w:strike w:val="false"/>
                <w:sz w:val="18"/>
                <w:szCs w:val="18"/>
                <w:color w:val="000000"/>
              </w:rPr>
              <w:t xml:space="preserve">Variance explained: PC1 = 76.1%.</w:t>
            </w:r>
          </w:p>
        </w:tc>
      </w:tr>
      <w:tr>
        <w:trPr>
          <w:trHeight w:val="360" w:hRule="auto"/>
        </w:trPr>
        <w:tc>
          <w:tcPr>
            <w:gridSpan w:val="3"/>
            <w:tcBorders>
              <w:bottom w:val="none" w:sz="0" w:space="0" w:color="FFFFFF"/>
              <w:top w:val="none" w:sz="0" w:space="0" w:color="FFFFFF"/>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18"/>
                <w:szCs w:val="18"/>
                <w:color w:val="000000"/>
              </w:rPr>
            </w:pPr>
            <w:r>
              <w:rPr>
                <w:rFonts w:ascii="Arial" w:hAnsi="Arial" w:eastAsia="Arial" w:cs="Arial"/>
                <w:i w:val="true"/>
                <w:b w:val="false"/>
                <w:u w:val="none"/>
                <w:strike w:val="false"/>
                <w:sz w:val="18"/>
                <w:szCs w:val="18"/>
                <w:color w:val="000000"/>
              </w:rPr>
              <w:t xml:space="preserve">Dominant component (PC1) was oriented so that higher scores indicate more movement and rescaled to unit SD for use as the overall movement score. Communalities (h2) indicate the proportion of variance in each feature captured by the retained component(s).</w:t>
            </w:r>
          </w:p>
        </w:tc>
      </w:tr>
    </w:tbl>
    <w:sectPr>
      <w:pgMar w:header="708" w:bottom="1417" w:top="1417" w:right="1417" w:left="1417"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2026-10-01T19:00:44Z</dcterms:modified>
  <cp:category/>
</cp:coreProperties>
</file>