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rPr/>
        <w:t xml:space="preserve">Table </w:t>
      </w:r>
      <w:bookmarkStart w:id="aaa6c227-aa61-4348-ba2f-083e26d2c47e" w:name="table"/>
      <w:r>
        <w:rPr/>
        <w:fldChar w:fldCharType="begin" w:dirty="true"/>
      </w:r>
      <w:r>
        <w:rPr/>
        <w:instrText xml:space="preserve" w:dirty="true">SEQ tab \* Arabic</w:instrText>
      </w:r>
      <w:r>
        <w:rPr/>
        <w:fldChar w:fldCharType="end" w:dirty="true"/>
      </w:r>
      <w:bookmarkEnd w:id="aaa6c227-aa61-4348-ba2f-083e26d2c47e"/>
      <w:r>
        <w:rPr/>
        <w:t xml:space="preserve">. </w:t>
      </w:r>
      <w:r>
        <w:t xml:space="preserve">Suitability of the movement features for PCA.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908"/>
        <w:gridCol w:w="1080"/>
      </w:tblGrid>
      <w:tr>
        <w:trPr>
          <w:trHeight w:val="496" w:hRule="auto"/>
          <w:tblHeader/>
        </w:trPr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Statistic</w:t>
            </w:r>
          </w:p>
        </w:tc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Value</w:t>
            </w:r>
          </w:p>
        </w:tc>
      </w:tr>
      <w:tr>
        <w:trPr>
          <w:trHeight w:val="530" w:hRule="auto"/>
        </w:trPr>
        <w:tc>
          <w:tcPr>
            <w:tcBorders>
              <w:bottom w:val="single" w:sz="4" w:space="0" w:color="D9D9D9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KMO (overall MSA)</w:t>
            </w:r>
          </w:p>
        </w:tc>
        <w:tc>
          <w:tcPr>
            <w:tcBorders>
              <w:bottom w:val="single" w:sz="4" w:space="0" w:color="D9D9D9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0.745</w:t>
            </w:r>
          </w:p>
        </w:tc>
      </w:tr>
      <w:tr>
        <w:trPr>
          <w:trHeight w:val="529" w:hRule="auto"/>
        </w:trPr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Bartlett chi-square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121.6</w:t>
            </w:r>
          </w:p>
        </w:tc>
      </w:tr>
      <w:tr>
        <w:trPr>
          <w:trHeight w:val="496" w:hRule="auto"/>
        </w:trPr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Bartlett df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</w:t>
            </w:r>
          </w:p>
        </w:tc>
      </w:tr>
      <w:tr>
        <w:trPr>
          <w:trHeight w:val="529" w:hRule="auto"/>
        </w:trPr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Bartlett p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&lt;.001</w:t>
            </w:r>
          </w:p>
        </w:tc>
      </w:tr>
      <w:tr>
        <w:trPr>
          <w:trHeight w:val="530" w:hRule="auto"/>
        </w:trPr>
        <w:tc>
          <w:tcPr>
            <w:tcBorders>
              <w:bottom w:val="single" w:sz="10" w:space="0" w:color="404040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 (stimuli)</w:t>
            </w:r>
          </w:p>
        </w:tc>
        <w:tc>
          <w:tcPr>
            <w:tcBorders>
              <w:bottom w:val="single" w:sz="10" w:space="0" w:color="404040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39</w:t>
            </w:r>
          </w:p>
        </w:tc>
      </w:tr>
      <w:tr>
        <w:trPr>
          <w:trHeight w:val="360" w:hRule="auto"/>
        </w:trPr>
        <w:tc>
          <w:tcPr>
            <w:gridSpan w:val="2"/>
            <w:tcBorders>
              <w:bottom w:val="none" w:sz="0" w:space="0" w:color="FFFFFF"/>
              <w:top w:val="single" w:sz="10" w:space="0" w:color="40404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PCA was based on the Pearson correlation matrix. KMO and Bartlett's test are reported as descriptive checks of the correlation structure.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2026-10-01T19:00:40Z</dcterms:modified>
  <cp:category/>
</cp:coreProperties>
</file>