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gridSpan w:val="6"/>
            <w:tcBorders>
              <w:bottom w:val="none" w:sz="0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Table 3</w:t>
            </w:r>
          </w:p>
        </w:tc>
      </w:tr>
      <w:tr>
        <w:trPr>
          <w:trHeight w:val="360" w:hRule="auto"/>
          <w:tblHeader/>
        </w:trPr>
        <w:tc>
          <w:tcPr>
            <w:gridSpan w:val="6"/>
            <w:tcBorders>
              <w:bottom w:val="single" w:sz="4" w:space="0" w:color="000000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Group difference on Total First Imp</w:t>
            </w:r>
          </w:p>
        </w:tc>
      </w:tr>
      <w:tr>
        <w:trPr>
          <w:trHeight w:val="360" w:hRule="auto"/>
          <w:tblHeader/>
        </w:trPr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Contrast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b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*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SE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df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t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Patient - Healthy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69.56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18.84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40.12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3.69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.001***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FFFFFF"/>
              <w:top w:val="single" w:sz="4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Note.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B is the estimated difference between groups in raw First Imp-total units.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* p &lt; .05, ** p &lt; .01, *** p &lt; .001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2026-04-20T08:13:14Z</dcterms:modified>
  <cp:category/>
</cp:coreProperties>
</file>