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3e7940dd-4a06-4342-bc2e-8a8decbb39b4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3e7940dd-4a06-4342-bc2e-8a8decbb39b4"/>
      <w:r>
        <w:rPr/>
        <w:t xml:space="preserve">. </w:t>
      </w:r>
      <w:r>
        <w:t xml:space="preserve">Random-effect variance partition for the PC1 movement model (H3).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7"/>
        <w:gridCol w:w="1219"/>
        <w:gridCol w:w="1080"/>
        <w:gridCol w:w="2931"/>
      </w:tblGrid>
      <w:tr>
        <w:trPr>
          <w:trHeight w:val="528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Random component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Variance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of residual+random variance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obs_id (random intercept)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5666.924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75.279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23.1%</w:t>
            </w:r>
          </w:p>
        </w:tc>
      </w:tr>
      <w:tr>
        <w:trPr>
          <w:trHeight w:val="53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vid (random intercept)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1335.478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36.544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5.5%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 (within-evaluation)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17477.596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132.203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71.4%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Random intercepts: observer (obs_id) and video (vid).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ICC = 0.286: proportion of the residual (unexplained) variance captured jointly by the observer and video random intercepts.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Marginal R2 = 0.100 (fixed effects); conditional R2 = 0.357 (fixed + random). The random structure adds 0.257 of explained variance beyond the fixed effects.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2026-10-01T17:49:54Z</dcterms:modified>
  <cp:category/>
</cp:coreProperties>
</file>