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B8" w:rsidRDefault="008F4EB8" w:rsidP="00D22B63">
      <w:pPr>
        <w:rPr>
          <w:rFonts w:ascii="Century Gothic" w:hAnsi="Century Gothic"/>
          <w:b/>
          <w:sz w:val="24"/>
        </w:rPr>
      </w:pPr>
      <w:r w:rsidRPr="001134F1">
        <w:rPr>
          <w:rFonts w:ascii="Century Gothic" w:hAnsi="Century Gothic"/>
          <w:b/>
          <w:sz w:val="24"/>
        </w:rPr>
        <w:t>Acknowledgments</w:t>
      </w:r>
    </w:p>
    <w:p w:rsidR="008F4EB8" w:rsidRDefault="008F4EB8" w:rsidP="00D22B63">
      <w:pPr>
        <w:rPr>
          <w:rFonts w:ascii="Century Gothic" w:hAnsi="Century Gothic" w:cs="CenturyGothic"/>
          <w:sz w:val="24"/>
        </w:rPr>
      </w:pPr>
      <w:r w:rsidRPr="00D36C4F">
        <w:rPr>
          <w:rFonts w:ascii="Century Gothic" w:hAnsi="Century Gothic" w:cs="CenturyGothic"/>
          <w:i/>
          <w:sz w:val="24"/>
        </w:rPr>
        <w:t xml:space="preserve">I give credit to all the students and colleagues I have had the pleasure of working with over the years. For this project I must thank </w:t>
      </w:r>
      <w:r>
        <w:rPr>
          <w:rFonts w:ascii="Century Gothic" w:hAnsi="Century Gothic" w:cs="CenturyGothic"/>
          <w:i/>
          <w:sz w:val="24"/>
        </w:rPr>
        <w:t xml:space="preserve">Outreach Extensions –  </w:t>
      </w:r>
      <w:r w:rsidRPr="00D36C4F">
        <w:rPr>
          <w:rFonts w:ascii="Century Gothic" w:hAnsi="Century Gothic" w:cs="CenturyGothic"/>
          <w:i/>
          <w:sz w:val="24"/>
        </w:rPr>
        <w:t>Judy Ravitz for her unending patience, wisdom, and experience</w:t>
      </w:r>
      <w:r>
        <w:rPr>
          <w:rFonts w:ascii="Century Gothic" w:hAnsi="Century Gothic" w:cs="CenturyGothic"/>
          <w:i/>
          <w:sz w:val="24"/>
        </w:rPr>
        <w:t xml:space="preserve">; and </w:t>
      </w:r>
      <w:r w:rsidRPr="00D36C4F">
        <w:rPr>
          <w:rFonts w:ascii="Century Gothic" w:hAnsi="Century Gothic" w:cs="CenturyGothic"/>
          <w:i/>
          <w:sz w:val="24"/>
        </w:rPr>
        <w:t>Anne Llewellyn has been a masterful editor.</w:t>
      </w:r>
      <w:r>
        <w:rPr>
          <w:rFonts w:ascii="Century Gothic" w:hAnsi="Century Gothic" w:cs="CenturyGothic"/>
          <w:sz w:val="24"/>
        </w:rPr>
        <w:t xml:space="preserve"> – </w:t>
      </w:r>
      <w:r w:rsidRPr="006D3530">
        <w:rPr>
          <w:rFonts w:ascii="Century Gothic" w:hAnsi="Century Gothic" w:cs="CenturyGothic"/>
          <w:i/>
          <w:sz w:val="24"/>
        </w:rPr>
        <w:t>Marcia Y. Cantarella, Ph.D.</w:t>
      </w:r>
      <w:r>
        <w:rPr>
          <w:rFonts w:ascii="Century Gothic" w:hAnsi="Century Gothic" w:cs="CenturyGothic"/>
          <w:b/>
          <w:sz w:val="24"/>
        </w:rPr>
        <w:t xml:space="preserve"> </w:t>
      </w:r>
      <w:r w:rsidRPr="005F68F5">
        <w:rPr>
          <w:rFonts w:ascii="Century Gothic" w:hAnsi="Century Gothic" w:cs="CenturyGothic"/>
          <w:sz w:val="24"/>
        </w:rPr>
        <w:t xml:space="preserve">    </w:t>
      </w:r>
    </w:p>
    <w:p w:rsidR="008F4EB8" w:rsidRDefault="008F4EB8" w:rsidP="00D22B63">
      <w:pPr>
        <w:rPr>
          <w:rFonts w:ascii="Century Gothic" w:hAnsi="Century Gothic" w:cs="CenturyGothic"/>
          <w:sz w:val="24"/>
        </w:rPr>
      </w:pPr>
      <w:r>
        <w:rPr>
          <w:rFonts w:ascii="Century Gothic" w:hAnsi="Century Gothic" w:cs="CenturyGothic"/>
          <w:sz w:val="24"/>
        </w:rPr>
        <w:t xml:space="preserve">Outreach Extensions gives special thanks to the filmmaker and producers: Tod Lending, Nomadic Pictures, Joy Thomas Moore, JWS Media Consulting; and Wes Moore, Omari Productions; with whom we have traveled a long road in developing this project. Special thanks also goes to Jacquie Jones at NBPC who provided financial support so we could begin to develop the community engagement materials. Melissa Stern edited the film clips that provide lessons-learned throughout this handbook. </w:t>
      </w:r>
    </w:p>
    <w:p w:rsidR="008F4EB8" w:rsidRPr="005F68F5" w:rsidRDefault="008F4EB8" w:rsidP="00D22B63">
      <w:pPr>
        <w:rPr>
          <w:rFonts w:ascii="Century Gothic" w:hAnsi="Century Gothic" w:cs="CenturyGothic"/>
          <w:sz w:val="24"/>
        </w:rPr>
      </w:pPr>
      <w:r>
        <w:rPr>
          <w:rFonts w:ascii="Century Gothic" w:hAnsi="Century Gothic" w:cs="CenturyGothic"/>
          <w:sz w:val="24"/>
        </w:rPr>
        <w:t xml:space="preserve">The film </w:t>
      </w:r>
      <w:r w:rsidRPr="00A13BE8">
        <w:rPr>
          <w:rFonts w:ascii="Century Gothic" w:hAnsi="Century Gothic" w:cs="CenturyGothic"/>
          <w:i/>
          <w:sz w:val="24"/>
        </w:rPr>
        <w:t>All the Difference</w:t>
      </w:r>
      <w:r>
        <w:rPr>
          <w:rFonts w:ascii="Century Gothic" w:hAnsi="Century Gothic" w:cs="CenturyGothic"/>
          <w:sz w:val="24"/>
        </w:rPr>
        <w:t xml:space="preserve"> and the remarkable stories of Robert Henderson and Krishaun Branch will animate the dreams of all young African-American men to graduate from high school and college and to lead successful lives. We thank Krishaun and Robert for sharing their vulnerabilities and accomplishments so others can learn from them. Their families, too, played a vital role. We thank the three schools attended by these young men: Urban Prep Academies (Chicago), Lake Forest College (Illinois), and Fisk University (Tennessee), and the teachers, advisers, and administrators who made all the difference to them. </w:t>
      </w:r>
    </w:p>
    <w:p w:rsidR="008F4EB8" w:rsidRPr="00E82548" w:rsidRDefault="008F4EB8" w:rsidP="00F57C2C">
      <w:pPr>
        <w:rPr>
          <w:rFonts w:ascii="Century Gothic" w:hAnsi="Century Gothic" w:cs="Arial"/>
          <w:color w:val="000000"/>
          <w:sz w:val="24"/>
        </w:rPr>
      </w:pPr>
      <w:r w:rsidRPr="00E82548">
        <w:rPr>
          <w:rFonts w:ascii="Century Gothic" w:hAnsi="Century Gothic" w:cs="CenturyGothic"/>
          <w:sz w:val="24"/>
        </w:rPr>
        <w:t>To begin this project, Outreach Extensions conducted an ascertainment with youth-serving organizations to obtain their advice and counsel on</w:t>
      </w:r>
      <w:r w:rsidRPr="00E82548">
        <w:rPr>
          <w:rFonts w:ascii="Century Gothic" w:hAnsi="Century Gothic"/>
          <w:sz w:val="24"/>
        </w:rPr>
        <w:t xml:space="preserve"> resources that could help youth prepare for and succeed in college. These organizations included </w:t>
      </w:r>
      <w:r w:rsidRPr="00E82548">
        <w:rPr>
          <w:rFonts w:ascii="Century Gothic" w:hAnsi="Century Gothic" w:cs="Arial"/>
          <w:color w:val="000000"/>
          <w:sz w:val="24"/>
        </w:rPr>
        <w:t xml:space="preserve">College Summit; Coalition of Schools Educating Boys of Color; Minority Student Achievement Network; </w:t>
      </w:r>
      <w:r w:rsidRPr="00E82548">
        <w:rPr>
          <w:rFonts w:ascii="Century Gothic" w:hAnsi="Century Gothic"/>
          <w:sz w:val="24"/>
        </w:rPr>
        <w:t xml:space="preserve">United Negro College Fund; College Board’s National Office for School Counselor Advocacy; The National Association of Elementary School Principals; </w:t>
      </w:r>
      <w:r w:rsidRPr="00E82548">
        <w:rPr>
          <w:rFonts w:ascii="Century Gothic" w:hAnsi="Century Gothic" w:cs="Arial"/>
          <w:color w:val="000000"/>
          <w:sz w:val="24"/>
        </w:rPr>
        <w:t>American School Counselor Association; Whole Child Program, ASCD; Black Alliance for Educational Options, Inc.; Achievement Gap Initiative (Harvard University); The HistoryMakers; Barbershops/</w:t>
      </w:r>
      <w:r w:rsidRPr="00E82548">
        <w:rPr>
          <w:rFonts w:ascii="Century Gothic" w:hAnsi="Century Gothic" w:cs="Arial"/>
          <w:i/>
          <w:color w:val="000000"/>
          <w:sz w:val="24"/>
        </w:rPr>
        <w:t>Against the Grain</w:t>
      </w:r>
      <w:r w:rsidRPr="00E82548">
        <w:rPr>
          <w:rFonts w:ascii="Century Gothic" w:hAnsi="Century Gothic" w:cs="Arial"/>
          <w:color w:val="000000"/>
          <w:sz w:val="24"/>
        </w:rPr>
        <w:t xml:space="preserve"> Magazine; and Marcia Cantarella. Additional guidance was provided by </w:t>
      </w:r>
      <w:r w:rsidRPr="00E82548">
        <w:rPr>
          <w:rFonts w:ascii="Century Gothic" w:hAnsi="Century Gothic"/>
          <w:sz w:val="24"/>
        </w:rPr>
        <w:t>Los Angeles Unified School District, CBS Diversity Project, Association of African American Museums, Big Brothers Big Sisters, Conference of National Black Churches, NAACP, National Conference of State Legislatures, National Fatherhood Initiative, Teaching Tolerance/Southern Poverty Law Center, and Urban League. Community engagement staff at public television stations offered vital assistance.</w:t>
      </w:r>
    </w:p>
    <w:p w:rsidR="008F4EB8" w:rsidRDefault="008F4EB8" w:rsidP="00381C5F">
      <w:pPr>
        <w:rPr>
          <w:rFonts w:ascii="Century Gothic" w:hAnsi="Century Gothic" w:cs="CenturyGothic"/>
          <w:sz w:val="24"/>
        </w:rPr>
      </w:pPr>
      <w:r w:rsidRPr="00F57C2C">
        <w:rPr>
          <w:rFonts w:ascii="Century Gothic" w:hAnsi="Century Gothic" w:cs="CenturyGothic"/>
          <w:sz w:val="24"/>
        </w:rPr>
        <w:t xml:space="preserve">We wish to acknowledge the vital partnership of City Year in reviewing this </w:t>
      </w:r>
      <w:r>
        <w:rPr>
          <w:rFonts w:ascii="Century Gothic" w:hAnsi="Century Gothic" w:cs="CenturyGothic"/>
          <w:sz w:val="24"/>
        </w:rPr>
        <w:t>H</w:t>
      </w:r>
      <w:bookmarkStart w:id="0" w:name="_GoBack"/>
      <w:bookmarkEnd w:id="0"/>
      <w:r w:rsidRPr="00F57C2C">
        <w:rPr>
          <w:rFonts w:ascii="Century Gothic" w:hAnsi="Century Gothic" w:cs="CenturyGothic"/>
          <w:sz w:val="24"/>
        </w:rPr>
        <w:t>andbook, and most important, contributing valuable content throughout</w:t>
      </w:r>
      <w:r w:rsidRPr="005F68F5">
        <w:rPr>
          <w:rFonts w:ascii="Century Gothic" w:hAnsi="Century Gothic" w:cs="CenturyGothic"/>
          <w:sz w:val="24"/>
        </w:rPr>
        <w:t xml:space="preserve"> Chapter Six. </w:t>
      </w:r>
      <w:r>
        <w:rPr>
          <w:rFonts w:ascii="Century Gothic" w:hAnsi="Century Gothic" w:cs="CenturyGothic"/>
          <w:sz w:val="24"/>
        </w:rPr>
        <w:t xml:space="preserve">We especially thank Gillian Smith and Epiphany Acevedo for their inspired contributions. </w:t>
      </w:r>
    </w:p>
    <w:p w:rsidR="008F4EB8" w:rsidRPr="005F68F5" w:rsidRDefault="008F4EB8" w:rsidP="00381C5F">
      <w:pPr>
        <w:rPr>
          <w:rFonts w:ascii="Century Gothic" w:hAnsi="Century Gothic" w:cs="CenturyGothic"/>
          <w:sz w:val="24"/>
        </w:rPr>
      </w:pPr>
      <w:r>
        <w:rPr>
          <w:rFonts w:ascii="Century Gothic" w:hAnsi="Century Gothic" w:cs="CenturyGothic"/>
          <w:sz w:val="24"/>
        </w:rPr>
        <w:t>We also want to acknowledge the students at Eagle Academy, New York, and those in the African American Male Initiative at the University of Arkansas, Little Rock, who participated in group review sessions, trying out the Handbook activities and videos and giving us valuable feedback.</w:t>
      </w:r>
    </w:p>
    <w:p w:rsidR="008F4EB8" w:rsidRPr="00FA71F6" w:rsidRDefault="008F4EB8" w:rsidP="00D22B63">
      <w:pPr>
        <w:rPr>
          <w:rFonts w:ascii="Century Gothic" w:hAnsi="Century Gothic"/>
          <w:sz w:val="24"/>
        </w:rPr>
      </w:pPr>
      <w:r>
        <w:rPr>
          <w:rFonts w:ascii="Century Gothic" w:hAnsi="Century Gothic"/>
          <w:sz w:val="24"/>
        </w:rPr>
        <w:t xml:space="preserve">We thank POV for collaborating on the project: Simon Kilmurry, Eliza Licht, Mary T. An, and Emma Dessau. Public television stations, especially American Graduate stations, are central to project implementation. We wish </w:t>
      </w:r>
      <w:r w:rsidRPr="00FA71F6">
        <w:rPr>
          <w:rFonts w:ascii="Century Gothic" w:hAnsi="Century Gothic"/>
          <w:sz w:val="24"/>
        </w:rPr>
        <w:t>them great success in reaching out to organizations and youth in their communit</w:t>
      </w:r>
      <w:r>
        <w:rPr>
          <w:rFonts w:ascii="Century Gothic" w:hAnsi="Century Gothic"/>
          <w:sz w:val="24"/>
        </w:rPr>
        <w:t>ies to learn from and use this h</w:t>
      </w:r>
      <w:r w:rsidRPr="00FA71F6">
        <w:rPr>
          <w:rFonts w:ascii="Century Gothic" w:hAnsi="Century Gothic"/>
          <w:sz w:val="24"/>
        </w:rPr>
        <w:t xml:space="preserve">andbook to forge their futures. </w:t>
      </w:r>
    </w:p>
    <w:p w:rsidR="008F4EB8" w:rsidRPr="00FA71F6" w:rsidRDefault="008F4EB8" w:rsidP="00D22B63">
      <w:pPr>
        <w:rPr>
          <w:rFonts w:ascii="Century Gothic" w:hAnsi="Century Gothic"/>
          <w:sz w:val="24"/>
        </w:rPr>
      </w:pPr>
      <w:r w:rsidRPr="00FA71F6">
        <w:rPr>
          <w:rFonts w:ascii="Century Gothic" w:hAnsi="Century Gothic"/>
          <w:sz w:val="24"/>
        </w:rPr>
        <w:t xml:space="preserve">Generous support for this </w:t>
      </w:r>
      <w:r w:rsidRPr="00FA71F6">
        <w:rPr>
          <w:rFonts w:ascii="Century Gothic" w:hAnsi="Century Gothic"/>
          <w:i/>
          <w:sz w:val="24"/>
        </w:rPr>
        <w:t xml:space="preserve">All the Difference </w:t>
      </w:r>
      <w:r w:rsidRPr="00FA71F6">
        <w:rPr>
          <w:rFonts w:ascii="Century Gothic" w:hAnsi="Century Gothic"/>
          <w:sz w:val="24"/>
        </w:rPr>
        <w:t>College Bound Students Handbook is made possible by the National Black Programming Consortium, American Graduate: Let’s Make It Happen sponsored by the Corporation for Public Broadcasting, Wyncote Foundation, POV, Winthrop Rockefeller Foundation, The Annie E. Casey Foundation, Nomadic Pictures, Outreach Extensions, JWS Media Consulting, and Omari Productions.</w:t>
      </w:r>
    </w:p>
    <w:p w:rsidR="008F4EB8" w:rsidRPr="00FA71F6" w:rsidRDefault="008F4EB8">
      <w:pPr>
        <w:rPr>
          <w:rFonts w:ascii="Century Gothic" w:hAnsi="Century Gothic"/>
          <w:sz w:val="24"/>
        </w:rPr>
      </w:pPr>
    </w:p>
    <w:sectPr w:rsidR="008F4EB8" w:rsidRPr="00FA71F6" w:rsidSect="00F95F6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altName w:val="Century Gothic"/>
    <w:panose1 w:val="02020603050405020304"/>
    <w:charset w:val="00"/>
    <w:family w:val="auto"/>
    <w:pitch w:val="variable"/>
    <w:sig w:usb0="03000000" w:usb1="00000000" w:usb2="00000000" w:usb3="00000000" w:csb0="00000001" w:csb1="00000000"/>
  </w:font>
  <w:font w:name="Century Gothic">
    <w:panose1 w:val="020B0502020202020204"/>
    <w:charset w:val="00"/>
    <w:family w:val="auto"/>
    <w:pitch w:val="variable"/>
    <w:sig w:usb0="03000000" w:usb1="00000000" w:usb2="00000000" w:usb3="00000000" w:csb0="00000001" w:csb1="00000000"/>
  </w:font>
  <w:font w:name="CenturyGothic">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2B63"/>
    <w:rsid w:val="001134F1"/>
    <w:rsid w:val="001515DD"/>
    <w:rsid w:val="001871CD"/>
    <w:rsid w:val="001B0114"/>
    <w:rsid w:val="00381C5F"/>
    <w:rsid w:val="005F68F5"/>
    <w:rsid w:val="006D3530"/>
    <w:rsid w:val="008F4EB8"/>
    <w:rsid w:val="0093726E"/>
    <w:rsid w:val="009E1781"/>
    <w:rsid w:val="00A13BE8"/>
    <w:rsid w:val="00A540E6"/>
    <w:rsid w:val="00B378BD"/>
    <w:rsid w:val="00C50438"/>
    <w:rsid w:val="00D22B63"/>
    <w:rsid w:val="00D36C4F"/>
    <w:rsid w:val="00DB583B"/>
    <w:rsid w:val="00DC61DB"/>
    <w:rsid w:val="00DD044B"/>
    <w:rsid w:val="00E82548"/>
    <w:rsid w:val="00F57C2C"/>
    <w:rsid w:val="00F95F60"/>
    <w:rsid w:val="00FA71F6"/>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63"/>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semiHidden/>
    <w:rsid w:val="00DC61DB"/>
    <w:pPr>
      <w:spacing w:after="0" w:line="240" w:lineRule="auto"/>
    </w:pPr>
    <w:rPr>
      <w:szCs w:val="21"/>
    </w:rPr>
  </w:style>
  <w:style w:type="character" w:customStyle="1" w:styleId="PlainTextChar">
    <w:name w:val="Plain Text Char"/>
    <w:basedOn w:val="DefaultParagraphFont"/>
    <w:link w:val="PlainText"/>
    <w:uiPriority w:val="99"/>
    <w:semiHidden/>
    <w:rsid w:val="00DC61DB"/>
    <w:rPr>
      <w:rFonts w:ascii="Calibri" w:hAnsi="Calibri" w:cs="Times New Roman"/>
      <w:sz w:val="21"/>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3206</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Acknowledgments</dc:title>
  <dc:subject/>
  <dc:creator>Anne Llewellyn</dc:creator>
  <cp:keywords/>
  <cp:lastModifiedBy>Judy Ravitz</cp:lastModifiedBy>
  <cp:revision>2</cp:revision>
  <dcterms:created xsi:type="dcterms:W3CDTF">2015-02-11T15:55:00Z</dcterms:created>
  <dcterms:modified xsi:type="dcterms:W3CDTF">2015-02-11T15:55:00Z</dcterms:modified>
</cp:coreProperties>
</file>