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line="240"/>
      </w:pPr>
      <w:r>
        <w:t xml:space="preserve"/>
      </w:r>
    </w:p>
    <w:p>
      <w:pPr>
        <w:spacing w:before="0" w:after="100"/>
      </w:pPr>
      <w:r>
        <w:rPr>
          <w:rFonts w:ascii="Arial" w:cs="Arial" w:eastAsia="Arial" w:hAnsi="Arial"/>
          <w:b/>
          <w:bCs/>
          <w:i w:val="false"/>
          <w:iCs w:val="false"/>
          <w:color w:val="1A3A6E"/>
          <w:sz w:val="56"/>
          <w:szCs w:val="56"/>
        </w:rPr>
        <w:t xml:space="preserve">MARKET KNOWLEDGE GRAPH</w:t>
      </w:r>
    </w:p>
    <w:p>
      <w:pPr>
        <w:spacing w:before="0" w:after="80"/>
      </w:pPr>
      <w:r>
        <w:rPr>
          <w:rFonts w:ascii="Arial" w:cs="Arial" w:eastAsia="Arial" w:hAnsi="Arial"/>
          <w:b w:val="false"/>
          <w:bCs w:val="false"/>
          <w:i w:val="false"/>
          <w:iCs w:val="false"/>
          <w:color w:val="0F0C07"/>
          <w:sz w:val="34"/>
          <w:szCs w:val="34"/>
        </w:rPr>
        <w:t xml:space="preserve">Problem Statement &amp; Design Foundation</w:t>
      </w:r>
    </w:p>
    <w:p>
      <w:pPr>
        <w:pBdr>
          <w:bottom w:val="single" w:color="D0C8B4" w:sz="6" w:space="1"/>
        </w:pBdr>
        <w:spacing w:before="0" w:after="0"/>
      </w:pPr>
      <w:r>
        <w:t xml:space="preserve"/>
      </w:r>
    </w:p>
    <w:p>
      <w:pPr>
        <w:spacing w:before="80" w:after="0" w:line="240"/>
      </w:pPr>
      <w:r>
        <w:t xml:space="preserve"/>
      </w:r>
    </w:p>
    <w:p>
      <w:pPr>
        <w:spacing w:before="80" w:after="100" w:line="280"/>
        <w:jc w:val="left"/>
      </w:pPr>
      <w:r>
        <w:rPr>
          <w:rFonts w:ascii="Arial" w:cs="Arial" w:eastAsia="Arial" w:hAnsi="Arial"/>
          <w:b/>
          <w:bCs/>
          <w:i w:val="false"/>
          <w:iCs w:val="false"/>
          <w:color w:val="6B6355"/>
          <w:sz w:val="20"/>
          <w:szCs w:val="20"/>
        </w:rPr>
        <w:t xml:space="preserve">SOURCE OF TRUTH — VERSION 1.0  ·  FEBRUARY 2026  ·  CONFIDENTIAL</w:t>
      </w:r>
    </w:p>
    <w:p>
      <w:pPr>
        <w:spacing w:before="100" w:after="0" w:line="240"/>
      </w:pPr>
      <w:r>
        <w:t xml:space="preserve"/>
      </w:r>
    </w:p>
    <w:p>
      <w:pPr>
        <w:spacing w:before="80" w:after="100" w:line="308"/>
        <w:jc w:val="left"/>
      </w:pPr>
      <w:r>
        <w:rPr>
          <w:rFonts w:ascii="Arial" w:cs="Arial" w:eastAsia="Arial" w:hAnsi="Arial"/>
          <w:b w:val="false"/>
          <w:bCs w:val="false"/>
          <w:i w:val="false"/>
          <w:iCs w:val="false"/>
          <w:color w:val="0F0C07"/>
          <w:sz w:val="21"/>
          <w:szCs w:val="21"/>
        </w:rPr>
        <w:t xml:space="preserve">This document defines the problems MKG solves. It is the single source of truth for all design, engineering, product, and positioning decisions. Every requirement, feature, and architecture choice must be traceable to one or more problem statements contained here. Any feature that cannot be grounded in this document requires a formal amendment before it may enter scope.</w:t>
      </w:r>
    </w:p>
    <w:p>
      <w:pPr>
        <w:spacing w:before="20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EDF8" w:val="clear"/>
            <w:tcMar>
              <w:top w:type="dxa" w:w="80"/>
              <w:left w:type="dxa" w:w="120"/>
              <w:bottom w:type="dxa" w:w="80"/>
              <w:right w:type="dxa" w:w="120"/>
            </w:tcMar>
          </w:tcPr>
          <w:p>
            <w:pPr>
              <w:spacing w:before="0" w:after="0"/>
            </w:pPr>
            <w:r>
              <w:rPr>
                <w:rFonts w:ascii="Arial" w:cs="Arial" w:eastAsia="Arial" w:hAnsi="Arial"/>
                <w:b/>
                <w:bCs/>
                <w:i w:val="false"/>
                <w:iCs w:val="false"/>
                <w:color w:val="1A3A6E"/>
                <w:sz w:val="20"/>
                <w:szCs w:val="20"/>
              </w:rPr>
              <w:t xml:space="preserve">Document 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0C07"/>
                <w:sz w:val="20"/>
                <w:szCs w:val="20"/>
              </w:rPr>
              <w:t xml:space="preserve">MKG-PS-001</w:t>
            </w:r>
          </w:p>
        </w:tc>
      </w:tr>
      <w:tr>
        <w:tc>
          <w:tcPr>
            <w:tcW w:type="dxa" w:w="20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pPr>
              <w:spacing w:before="0" w:after="0"/>
            </w:pPr>
            <w:r>
              <w:rPr>
                <w:rFonts w:ascii="Arial" w:cs="Arial" w:eastAsia="Arial" w:hAnsi="Arial"/>
                <w:b/>
                <w:bCs/>
                <w:i w:val="false"/>
                <w:iCs w:val="false"/>
                <w:color w:val="1A3A6E"/>
                <w:sz w:val="20"/>
                <w:szCs w:val="20"/>
              </w:rPr>
              <w:t xml:space="preserve">Version</w:t>
            </w:r>
          </w:p>
        </w:tc>
        <w:tc>
          <w:tcPr>
            <w:tcW w:type="dxa" w:w="73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0C07"/>
                <w:sz w:val="20"/>
                <w:szCs w:val="20"/>
              </w:rPr>
              <w:t xml:space="preserve">1.0 — February 2026</w:t>
            </w:r>
          </w:p>
        </w:tc>
      </w:tr>
      <w:tr>
        <w:tc>
          <w:tcPr>
            <w:tcW w:type="dxa" w:w="2000"/>
            <w:tcBorders>
              <w:top w:val="single" w:color="CCCCCC" w:sz="1"/>
              <w:left w:val="single" w:color="CCCCCC" w:sz="1"/>
              <w:bottom w:val="single" w:color="CCCCCC" w:sz="1"/>
              <w:right w:val="single" w:color="CCCCCC" w:sz="1"/>
            </w:tcBorders>
            <w:shd w:fill="E6EDF8" w:val="clear"/>
            <w:tcMar>
              <w:top w:type="dxa" w:w="80"/>
              <w:left w:type="dxa" w:w="120"/>
              <w:bottom w:type="dxa" w:w="80"/>
              <w:right w:type="dxa" w:w="120"/>
            </w:tcMar>
          </w:tcPr>
          <w:p>
            <w:pPr>
              <w:spacing w:before="0" w:after="0"/>
            </w:pPr>
            <w:r>
              <w:rPr>
                <w:rFonts w:ascii="Arial" w:cs="Arial" w:eastAsia="Arial" w:hAnsi="Arial"/>
                <w:b/>
                <w:bCs/>
                <w:i w:val="false"/>
                <w:iCs w:val="false"/>
                <w:color w:val="1A3A6E"/>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0C07"/>
                <w:sz w:val="20"/>
                <w:szCs w:val="20"/>
              </w:rPr>
              <w:t xml:space="preserve">APPROVED — BASIS FOR ALL DESIGN</w:t>
            </w:r>
          </w:p>
        </w:tc>
      </w:tr>
      <w:tr>
        <w:tc>
          <w:tcPr>
            <w:tcW w:type="dxa" w:w="2000"/>
            <w:tcBorders>
              <w:top w:val="single" w:color="CCCCCC" w:sz="1"/>
              <w:left w:val="single" w:color="CCCCCC" w:sz="1"/>
              <w:bottom w:val="single" w:color="CCCCCC" w:sz="1"/>
              <w:right w:val="single" w:color="CCCCCC" w:sz="1"/>
            </w:tcBorders>
            <w:shd w:fill="EDF2FA" w:val="clear"/>
            <w:tcMar>
              <w:top w:type="dxa" w:w="80"/>
              <w:left w:type="dxa" w:w="120"/>
              <w:bottom w:type="dxa" w:w="80"/>
              <w:right w:type="dxa" w:w="120"/>
            </w:tcMar>
          </w:tcPr>
          <w:p>
            <w:pPr>
              <w:spacing w:before="0" w:after="0"/>
            </w:pPr>
            <w:r>
              <w:rPr>
                <w:rFonts w:ascii="Arial" w:cs="Arial" w:eastAsia="Arial" w:hAnsi="Arial"/>
                <w:b/>
                <w:bCs/>
                <w:i w:val="false"/>
                <w:iCs w:val="false"/>
                <w:color w:val="1A3A6E"/>
                <w:sz w:val="20"/>
                <w:szCs w:val="20"/>
              </w:rPr>
              <w:t xml:space="preserve">Scope</w:t>
            </w:r>
          </w:p>
        </w:tc>
        <w:tc>
          <w:tcPr>
            <w:tcW w:type="dxa" w:w="736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0C07"/>
                <w:sz w:val="20"/>
                <w:szCs w:val="20"/>
              </w:rPr>
              <w:t xml:space="preserve">Financial Markets (Investment Intelligence) + Supply Chain (Disruption Intelligence)</w:t>
            </w:r>
          </w:p>
        </w:tc>
      </w:tr>
      <w:tr>
        <w:tc>
          <w:tcPr>
            <w:tcW w:type="dxa" w:w="2000"/>
            <w:tcBorders>
              <w:top w:val="single" w:color="CCCCCC" w:sz="1"/>
              <w:left w:val="single" w:color="CCCCCC" w:sz="1"/>
              <w:bottom w:val="single" w:color="CCCCCC" w:sz="1"/>
              <w:right w:val="single" w:color="CCCCCC" w:sz="1"/>
            </w:tcBorders>
            <w:shd w:fill="E6EDF8" w:val="clear"/>
            <w:tcMar>
              <w:top w:type="dxa" w:w="80"/>
              <w:left w:type="dxa" w:w="120"/>
              <w:bottom w:type="dxa" w:w="80"/>
              <w:right w:type="dxa" w:w="120"/>
            </w:tcMar>
          </w:tcPr>
          <w:p>
            <w:pPr>
              <w:spacing w:before="0" w:after="0"/>
            </w:pPr>
            <w:r>
              <w:rPr>
                <w:rFonts w:ascii="Arial" w:cs="Arial" w:eastAsia="Arial" w:hAnsi="Arial"/>
                <w:b/>
                <w:bCs/>
                <w:i w:val="false"/>
                <w:iCs w:val="false"/>
                <w:color w:val="1A3A6E"/>
                <w:sz w:val="20"/>
                <w:szCs w:val="20"/>
              </w:rPr>
              <w:t xml:space="preserve">Amendment Rule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0F0C07"/>
                <w:sz w:val="20"/>
                <w:szCs w:val="20"/>
              </w:rPr>
              <w:t xml:space="preserve">All amendments require version increment, date, author, and rationale</w:t>
            </w:r>
          </w:p>
        </w:tc>
      </w:tr>
    </w:tbl>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00</w:t>
      </w:r>
    </w:p>
    <w:p>
      <w:pPr>
        <w:shd w:fill="1A3A6E" w:val="clear"/>
        <w:spacing w:before="0" w:after="0"/>
        <w:ind w:left="200" w:right="200"/>
      </w:pPr>
      <w:r>
        <w:rPr>
          <w:rFonts w:ascii="Arial" w:cs="Arial" w:eastAsia="Arial" w:hAnsi="Arial"/>
          <w:b/>
          <w:bCs/>
          <w:i w:val="false"/>
          <w:iCs w:val="false"/>
          <w:color w:val="FFFFFF"/>
          <w:sz w:val="34"/>
          <w:szCs w:val="34"/>
        </w:rPr>
        <w:t xml:space="preserve">EXECUTIVE SUMMARY</w:t>
      </w:r>
    </w:p>
    <w:p>
      <w:pPr>
        <w:shd w:fill="1A3A6E" w:val="clear"/>
        <w:spacing w:before="120" w:after="0"/>
      </w:pPr>
      <w:r>
        <w:t xml:space="preserve"/>
      </w:r>
    </w:p>
    <w:p>
      <w:pPr>
        <w:spacing w:before="8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6E" w:sz="20"/>
              <w:bottom w:val="none" w:color="FFFFFF" w:sz="0"/>
              <w:right w:val="none" w:color="FFFFFF" w:sz="0"/>
            </w:tcBorders>
            <w:shd w:fill="E6EDF8" w:val="clear"/>
            <w:tcMar>
              <w:top w:type="dxa" w:w="140"/>
              <w:left w:type="dxa" w:w="220"/>
              <w:bottom w:type="dxa" w:w="140"/>
              <w:right w:type="dxa" w:w="180"/>
            </w:tcMar>
          </w:tcPr>
          <w:p>
            <w:pPr>
              <w:spacing w:before="0" w:after="60"/>
            </w:pPr>
            <w:r>
              <w:rPr>
                <w:rFonts w:ascii="Arial" w:cs="Arial" w:eastAsia="Arial" w:hAnsi="Arial"/>
                <w:b/>
                <w:bCs/>
                <w:i w:val="false"/>
                <w:iCs w:val="false"/>
                <w:color w:val="1A3A6E"/>
                <w:sz w:val="18"/>
                <w:szCs w:val="18"/>
              </w:rPr>
              <w:t xml:space="preserve">THE PROBLEM — ONE SENTENCE</w:t>
            </w:r>
          </w:p>
          <w:p>
            <w:pPr>
              <w:spacing w:before="0" w:after="0" w:line="308"/>
            </w:pPr>
            <w:r>
              <w:rPr>
                <w:rFonts w:ascii="Arial" w:cs="Arial" w:eastAsia="Arial" w:hAnsi="Arial"/>
                <w:b w:val="false"/>
                <w:bCs w:val="false"/>
                <w:i w:val="false"/>
                <w:iCs w:val="false"/>
                <w:color w:val="0F0C07"/>
                <w:sz w:val="21"/>
                <w:szCs w:val="21"/>
              </w:rPr>
              <w:t xml:space="preserve">Every market-moving event propagates through a network of company-to-company relationships before its full impact is realised — but no commercial tool reads that network dynamically, weights its edges from live signals, traverses it automatically when a node is triggered, and delivers a ranked impact assessment in under 60 seconds across financial markets and supply chain operations.</w:t>
            </w:r>
          </w:p>
        </w:tc>
      </w:tr>
    </w:tbl>
    <w:p>
      <w:pPr>
        <w:spacing w:before="60" w:after="0" w:line="240"/>
      </w:pPr>
      <w:r>
        <w:t xml:space="preserve"/>
      </w:r>
    </w:p>
    <w:p>
      <w:pPr>
        <w:spacing w:before="10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This problem manifests identically in two institutional contexts: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FINANCIAL MARKETS: When TSMC reports earnings, every sell-side analyst re-rates NVIDIA within hours. But the 800+ companies in TSMC's downstream relationship network — GPU-dependent software vendors, data center cooling suppliers, Korean PCB makers, electrical grid operators near AI campuses — are not re-priced for 1–14 weeks. That delay is a persistent, peer-reviewed, commercially unaddressed alpha opportunity. No Bloomberg function, AlphaSense query, FactSet Revere lookup, or RavenPack signal closes it automatically.</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SUPPLY CHAIN: The 2021 automotive chip shortage began at a single Japanese semiconductor factory three supply chain hops from the automotive OEMs whose production lines collapsed. Only 6% of companies have full supply chain visibility past Tier 1. The signals were in public news hours before the disruption cascaded — but no system traversed the supplier graph to surface which production lines were at risk.</w:t>
      </w:r>
    </w:p>
    <w:p>
      <w:pPr>
        <w:spacing w:before="10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Both problems share five structural root causes: (1) relationship databases are static — not dynamically weighted from news; (2) no tool traverses a network automatically from a trigger event; (3) signals in 13+ languages go unread for days; (4) 50 years of institutional relationship knowledge exists only in senior employees' heads and is destroyed when they leave; and (5) the propagation mechanism has never been treated as a first-class design target by any commercial platform.</w:t>
      </w:r>
    </w:p>
    <w:p>
      <w:pPr>
        <w:spacing w:before="10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400"/>
        <w:gridCol w:w="3660"/>
      </w:tblGrid>
      <w:tr>
        <w:tc>
          <w:tcPr>
            <w:tcW w:type="dxa" w:w="16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Metric</w:t>
            </w:r>
          </w:p>
        </w:tc>
        <w:tc>
          <w:tcPr>
            <w:tcW w:type="dxa" w:w="17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Value</w:t>
            </w:r>
          </w:p>
        </w:tc>
        <w:tc>
          <w:tcPr>
            <w:tcW w:type="dxa" w:w="24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Source</w:t>
            </w:r>
          </w:p>
        </w:tc>
        <w:tc>
          <w:tcPr>
            <w:tcW w:type="dxa" w:w="366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Design Implication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PEAD window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55+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Ball &amp; Brown 1968 → Active literature 2025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The Speed 3 alpha gap has existed for over half a century. It is structural, not accidental.</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SC visibility gap</w:t>
            </w:r>
          </w:p>
        </w:tc>
        <w:tc>
          <w:tcPr>
            <w:tcW w:type="dxa" w:w="17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6% of firms</w:t>
            </w:r>
          </w:p>
        </w:tc>
        <w:tc>
          <w:tcPr>
            <w:tcW w:type="dxa" w:w="24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Gartner 2025</w:t>
            </w:r>
          </w:p>
        </w:tc>
        <w:tc>
          <w:tcPr>
            <w:tcW w:type="dxa" w:w="366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94% of companies cannot see past Tier 1. MKG targets Tier 2 and Tier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SC disruption cost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8% revenue /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McKinsey / Gartner 2025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Events every 3.7 years avg. For a $10B company: $800M per event.</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Speed 3 pricing delay</w:t>
            </w:r>
          </w:p>
        </w:tc>
        <w:tc>
          <w:tcPr>
            <w:tcW w:type="dxa" w:w="17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1–14 weeks</w:t>
            </w:r>
          </w:p>
        </w:tc>
        <w:tc>
          <w:tcPr>
            <w:tcW w:type="dxa" w:w="24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POM Supply Chain Contagion 2024</w:t>
            </w:r>
          </w:p>
        </w:tc>
        <w:tc>
          <w:tcPr>
            <w:tcW w:type="dxa" w:w="366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This is the alpha window MKG is designed to exploit.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Tribal knowledge loss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42%+ of institutional knowledge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Panopto Research (applied)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Senior departures permanently erase relationship maps no system has captured.</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MKG-exclusive capabilities</w:t>
            </w:r>
          </w:p>
        </w:tc>
        <w:tc>
          <w:tcPr>
            <w:tcW w:type="dxa" w:w="17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20 capabilities</w:t>
            </w:r>
          </w:p>
        </w:tc>
        <w:tc>
          <w:tcPr>
            <w:tcW w:type="dxa" w:w="24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MKG Competitive Analysis Feb 2026</w:t>
            </w:r>
          </w:p>
        </w:tc>
        <w:tc>
          <w:tcPr>
            <w:tcW w:type="dxa" w:w="366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Zero commercial products deliver any of these 20 capabilities today.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Financial data market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~$35B/yr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Bloomberg ~$10B alone; industry estimate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MKG positions as intelligence layer on top of existing spend, not replacement.</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Alt data market CAGR</w:t>
            </w:r>
          </w:p>
        </w:tc>
        <w:tc>
          <w:tcPr>
            <w:tcW w:type="dxa" w:w="17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50.7% to 2035</w:t>
            </w:r>
          </w:p>
        </w:tc>
        <w:tc>
          <w:tcPr>
            <w:tcW w:type="dxa" w:w="24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Precedence Research 2025</w:t>
            </w:r>
          </w:p>
        </w:tc>
        <w:tc>
          <w:tcPr>
            <w:tcW w:type="dxa" w:w="366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Hedge fund segment = 71% of alt data revenue. MKG's primary buyer.</w:t>
            </w:r>
          </w:p>
        </w:tc>
      </w:tr>
    </w:tbl>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01</w:t>
      </w:r>
    </w:p>
    <w:p>
      <w:pPr>
        <w:shd w:fill="1A3A6E" w:val="clear"/>
        <w:spacing w:before="0" w:after="0"/>
        <w:ind w:left="200" w:right="200"/>
      </w:pPr>
      <w:r>
        <w:rPr>
          <w:rFonts w:ascii="Arial" w:cs="Arial" w:eastAsia="Arial" w:hAnsi="Arial"/>
          <w:b/>
          <w:bCs/>
          <w:i w:val="false"/>
          <w:iCs w:val="false"/>
          <w:color w:val="FFFFFF"/>
          <w:sz w:val="34"/>
          <w:szCs w:val="34"/>
        </w:rPr>
        <w:t xml:space="preserve">PROBLEM CONTEXT — THE WORLD MKG OPERATES IN</w:t>
      </w:r>
    </w:p>
    <w:p>
      <w:pPr>
        <w:shd w:fill="1A3A6E" w:val="clear"/>
        <w:spacing w:before="120" w:after="0"/>
      </w:pPr>
      <w:r>
        <w:t xml:space="preserve"/>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1.1  The Fundamental Nature of the Problem</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Every major institution in global finance and global operations faces the same structural problem: they are making decisions about a network they cannot fully see. The network exists. The relationships between companies — supply chains, board interlocks, joint ventures, regulatory co-exposures, customer dependencies — are real and economically significant. The signals that travel through these networks are real and publicly available. But no commercial system continuously maintains a weighted map of those relationships, updates that map from live news signals in real time, and answers the question "what happens next, to whom, and with what strength?" automatically when any node in the network receives a shock.</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This is not a data problem. The data exists — in news articles, earnings calls, regulatory filings, supplier contracts, and customs records. It is a network intelligence problem: the systematic absence of a system designed to read all those data sources as signals, encode them as edge weights in a relationship graph, and traverse that graph automatically the moment any node is triggered.</w:t>
      </w:r>
    </w:p>
    <w:p>
      <w:pPr>
        <w:spacing w:before="8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"A quarter of GDP and inflation effects after 2020 are attributed to shocks outside the U.S. that propagated through input-output networks. About half of a disruption's total effect may come from amplification through the supply chain network."</w:t>
            </w:r>
          </w:p>
          <w:p>
            <w:pPr>
              <w:spacing w:before="0" w:after="0"/>
            </w:pPr>
            <w:r>
              <w:rPr>
                <w:rFonts w:ascii="Arial" w:cs="Arial" w:eastAsia="Arial" w:hAnsi="Arial"/>
                <w:b w:val="false"/>
                <w:bCs w:val="false"/>
                <w:i w:val="false"/>
                <w:iCs w:val="false"/>
                <w:color w:val="6B6355"/>
                <w:sz w:val="18"/>
                <w:szCs w:val="18"/>
              </w:rPr>
              <w:t xml:space="preserve">Federal Reserve Bank of Richmond — Economic Brief, January 2025</w:t>
            </w:r>
          </w:p>
        </w:tc>
      </w:tr>
    </w:tbl>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1.2  The Three-Speed Market — Financial Vertical</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Capital markets do not process all information at the same speed. Research across multiple decades has established three distinct speeds at which different categories of information are absorbed into asset prices:</w:t>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200"/>
        <w:gridCol w:w="3460"/>
      </w:tblGrid>
      <w:tr>
        <w:tc>
          <w:tcPr>
            <w:tcW w:type="dxa" w:w="11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Speed</w:t>
            </w:r>
          </w:p>
        </w:tc>
        <w:tc>
          <w:tcPr>
            <w:tcW w:type="dxa" w:w="16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Time to Pricing</w:t>
            </w:r>
          </w:p>
        </w:tc>
        <w:tc>
          <w:tcPr>
            <w:tcW w:type="dxa" w:w="32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Information Type</w:t>
            </w:r>
          </w:p>
        </w:tc>
        <w:tc>
          <w:tcPr>
            <w:tcW w:type="dxa" w:w="346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MKG Position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Speed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Milliseconds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Direct earnings; direct news on named entity; HFT-accessible structured 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Out of scope. Markets are efficient here. MKG does not compete with HFT.</w:t>
            </w:r>
          </w:p>
        </w:tc>
      </w:tr>
      <w:tr>
        <w:tc>
          <w:tcPr>
            <w:tcW w:type="dxa" w:w="11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Speed 2</w:t>
            </w:r>
          </w:p>
        </w:tc>
        <w:tc>
          <w:tcPr>
            <w:tcW w:type="dxa" w:w="1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Minutes–hours</w:t>
            </w:r>
          </w:p>
        </w:tc>
        <w:tc>
          <w:tcPr>
            <w:tcW w:type="dxa" w:w="32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Intra-industry spillovers; competitor re-ratings; peer implications of an announcement</w:t>
            </w:r>
          </w:p>
        </w:tc>
        <w:tc>
          <w:tcPr>
            <w:tcW w:type="dxa" w:w="346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Partial scope. MKG provides coverage and speed advantage where analyst attention is thin.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Speed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1–14 weeks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Supply chain contagion; board network signals; JV implications; regulatory co-exposure; second-order customer-supplier effects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CORE TARGET. This is where the alpha lives. Peer-reviewed, persistent, commercially unexploited. MKG is designed entirely around this window.</w:t>
            </w:r>
          </w:p>
        </w:tc>
      </w:tr>
    </w:tbl>
    <w:p>
      <w:pPr>
        <w:spacing w:before="8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Speed 3 is the focus because it is the only speed at which: (a) the alpha opportunity is large enough to justify institutional attention; (b) the market is demonstrably and persistently inefficient by academic standards; and (c) the problem is solvable at human-readable speed — not HFT infrastructure — by a graph intelligence system operating in seconds. Speed 1 and Speed 2 are explicitly out of scope.</w:t>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1.3  The Three-Tier Visibility Gap — Supply Chain Vertical</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Supply chain operations face a structural visibility problem that directly mirrors the three-speed gap in financial markets: the deeper a supplier sits in the chain, the less visible it is to the focal company — and the more likely it is to be the origin of a major disruption.</w:t>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600"/>
        <w:gridCol w:w="4060"/>
      </w:tblGrid>
      <w:tr>
        <w:tc>
          <w:tcPr>
            <w:tcW w:type="dxa" w:w="11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Tier</w:t>
            </w:r>
          </w:p>
        </w:tc>
        <w:tc>
          <w:tcPr>
            <w:tcW w:type="dxa" w:w="16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Typical Visibility</w:t>
            </w:r>
          </w:p>
        </w:tc>
        <w:tc>
          <w:tcPr>
            <w:tcW w:type="dxa" w:w="260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Tool Coverage</w:t>
            </w:r>
          </w:p>
        </w:tc>
        <w:tc>
          <w:tcPr>
            <w:tcW w:type="dxa" w:w="4060"/>
            <w:tcBorders>
              <w:top w:val="single" w:color="4A6FA0" w:sz="1"/>
              <w:left w:val="single" w:color="4A6FA0" w:sz="1"/>
              <w:bottom w:val="single" w:color="4A6FA0" w:sz="1"/>
              <w:right w:val="single" w:color="4A6FA0" w:sz="1"/>
            </w:tcBorders>
            <w:shd w:fill="1A3A6E" w:val="clear"/>
            <w:tcMar>
              <w:top w:type="dxa" w:w="80"/>
              <w:left w:type="dxa" w:w="100"/>
              <w:bottom w:type="dxa" w:w="80"/>
              <w:right w:type="dxa" w:w="100"/>
            </w:tcMar>
          </w:tcPr>
          <w:p>
            <w:pPr>
              <w:spacing w:before="0" w:after="0"/>
            </w:pPr>
            <w:r>
              <w:rPr>
                <w:rFonts w:ascii="Arial" w:cs="Arial" w:eastAsia="Arial" w:hAnsi="Arial"/>
                <w:b/>
                <w:bCs/>
                <w:i w:val="false"/>
                <w:iCs w:val="false"/>
                <w:color w:val="FFFFFF"/>
                <w:sz w:val="19"/>
                <w:szCs w:val="19"/>
              </w:rPr>
              <w:t xml:space="preserve">Disruption Reality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Tier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~60% of companies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SAP Ariba, Coupa, Resilinc, D&amp;B, Interos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Direct, contracted suppliers. 40%+ still lack complete Tier 1 visibility. Disruption warning: days to weeks.</w:t>
            </w:r>
          </w:p>
        </w:tc>
      </w:tr>
      <w:tr>
        <w:tc>
          <w:tcPr>
            <w:tcW w:type="dxa" w:w="11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Tier 2</w:t>
            </w:r>
          </w:p>
        </w:tc>
        <w:tc>
          <w:tcPr>
            <w:tcW w:type="dxa" w:w="1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43% of companies only</w:t>
            </w:r>
          </w:p>
        </w:tc>
        <w:tc>
          <w:tcPr>
            <w:tcW w:type="dxa" w:w="260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Interos (partial), Resilinc (partial)</w:t>
            </w:r>
          </w:p>
        </w:tc>
        <w:tc>
          <w:tcPr>
            <w:tcW w:type="dxa" w:w="4060"/>
            <w:tcBorders>
              <w:top w:val="single" w:color="CCCCCC" w:sz="1"/>
              <w:left w:val="single" w:color="CCCCCC" w:sz="1"/>
              <w:bottom w:val="single" w:color="CCCCCC" w:sz="1"/>
              <w:right w:val="single" w:color="CCCCCC" w:sz="1"/>
            </w:tcBorders>
            <w:shd w:fill="F2F0EB"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Sub-suppliers you have no contract with. 70–80% of Tier 1 failures trace to Tier 2 disruptions. Warning: weeks — usually discovered after Tier 1 is already failing.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bCs/>
                <w:i w:val="false"/>
                <w:iCs w:val="false"/>
                <w:color w:val="1A3A6E"/>
                <w:sz w:val="20"/>
                <w:szCs w:val="20"/>
              </w:rPr>
              <w:t xml:space="preserve">Tier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&lt;5% of companies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No commercial tool covers this fully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0" w:after="0" w:line="276"/>
            </w:pPr>
            <w:r>
              <w:rPr>
                <w:rFonts w:ascii="Arial" w:cs="Arial" w:eastAsia="Arial" w:hAnsi="Arial"/>
                <w:b w:val="false"/>
                <w:bCs w:val="false"/>
                <w:i w:val="false"/>
                <w:iCs w:val="false"/>
                <w:color w:val="0F0C07"/>
                <w:sz w:val="19"/>
                <w:szCs w:val="19"/>
              </w:rPr>
              <w:t xml:space="preserve">Origin of the 2021 chip shortage: a single factory fire 3 hops from automotive OEMs. Completely invisible. Warning: months — by which time Tier 1 is shutting lines.</w:t>
            </w:r>
          </w:p>
        </w:tc>
      </w:tr>
    </w:tbl>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THE RENESAS CASE — CANONICAL TIER-3 BLIND SPOT</w:t>
            </w:r>
          </w:p>
          <w:p>
            <w:pPr>
              <w:spacing w:before="0" w:after="0" w:line="308"/>
            </w:pPr>
            <w:r>
              <w:rPr>
                <w:rFonts w:ascii="Arial" w:cs="Arial" w:eastAsia="Arial" w:hAnsi="Arial"/>
                <w:b w:val="false"/>
                <w:bCs w:val="false"/>
                <w:i w:val="false"/>
                <w:iCs w:val="false"/>
                <w:color w:val="0F0C07"/>
                <w:sz w:val="21"/>
                <w:szCs w:val="21"/>
              </w:rPr>
              <w:t xml:space="preserve">March 2021: Fire at Renesas Naka fab → Ford, GM, Toyota production halts → $210B in automotive revenue lost globally. The chain was: Toyota → Bosch/Denso → Renesas → Shin-Etsu Chemical. No automotive OEM had Renesas mapped as a critical Tier-3 dependency. No SCRM tool connected the fire news — visible within hours — to automotive production lines three hops away. The one Ford engineer who knew this dependency had left 18 months earlier. Their mental map left with them.</w:t>
            </w:r>
          </w:p>
        </w:tc>
      </w:tr>
    </w:tbl>
    <w:p>
      <w:pPr>
        <w:spacing w:before="60" w:after="0" w:line="240"/>
      </w:pPr>
      <w:r>
        <w:t xml:space="preserve"/>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02</w:t>
      </w:r>
    </w:p>
    <w:p>
      <w:pPr>
        <w:shd w:fill="1A3A6E" w:val="clear"/>
        <w:spacing w:before="0" w:after="0"/>
        <w:ind w:left="200" w:right="200"/>
      </w:pPr>
      <w:r>
        <w:rPr>
          <w:rFonts w:ascii="Arial" w:cs="Arial" w:eastAsia="Arial" w:hAnsi="Arial"/>
          <w:b/>
          <w:bCs/>
          <w:i w:val="false"/>
          <w:iCs w:val="false"/>
          <w:color w:val="FFFFFF"/>
          <w:sz w:val="34"/>
          <w:szCs w:val="34"/>
        </w:rPr>
        <w:t xml:space="preserve">ROOT CAUSE ANALYSIS — WHY THE PROBLEM PERSISTS</w:t>
      </w:r>
    </w:p>
    <w:p>
      <w:pPr>
        <w:shd w:fill="1A3A6E" w:val="clear"/>
        <w:spacing w:before="120" w:after="0"/>
      </w:pPr>
      <w:r>
        <w:t xml:space="preserve"/>
      </w:r>
    </w:p>
    <w:p>
      <w:pPr>
        <w:spacing w:before="8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The relationship intelligence gap is not an oversight that will be closed by incrementally improving existing tools. It persists for five structural reasons, each of which requires a distinct architectural response. A solution that addresses four of five will reproduce a smaller version of the same problem.</w:t>
      </w:r>
    </w:p>
    <w:p>
      <w:pPr>
        <w:spacing w:before="80" w:after="0" w:line="240"/>
      </w:pPr>
      <w:r>
        <w:t xml:space="preserve"/>
      </w:r>
    </w:p>
    <w:p>
      <w:pPr>
        <w:spacing w:before="160" w:after="0" w:line="240"/>
      </w:pPr>
      <w:r>
        <w:t xml:space="preserve"/>
      </w:r>
    </w:p>
    <w:p>
      <w:pPr>
        <w:pBdr>
          <w:bottom w:val="single" w:color="A82C14" w:sz="4" w:space="2"/>
        </w:pBdr>
        <w:spacing w:before="0" w:after="80"/>
      </w:pPr>
      <w:r>
        <w:rPr>
          <w:rFonts w:ascii="Arial" w:cs="Arial" w:eastAsia="Arial" w:hAnsi="Arial"/>
          <w:b/>
          <w:bCs/>
          <w:i w:val="false"/>
          <w:iCs w:val="false"/>
          <w:color w:val="A82C14"/>
          <w:sz w:val="26"/>
          <w:szCs w:val="26"/>
        </w:rPr>
        <w:t xml:space="preserve">ROOT CAUSE 1 — Relationship Databases Are Static, Not Dynamically Weighted</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Every commercial platform that stores company relationships — FactSet Revere (supply chain), S&amp;P Capital IQ (board networks), Interos (supplier ecosystems), Bloomberg (generic company links) — stores them as static, filing-sourced entries. These databases reflect what companies disclosed in their last annual report. They do not update when news changes the economic reality of a connection.</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When NVIDIA's TSMC CoWoS packaging dependency deepened in 2025, FactSet Revere did not update the edge weight. When a Renesas factory fire severed automotive supply chains, Interos did not automatically re-weight every downstream dependency. When China restricted yttrium exports, no system recomputed every company's exposure through their multi-hop supply chain. The relationships exist in the database; the current-state intelligence does not.</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DESIGN REQUIREMENT — RC1</w:t>
            </w:r>
          </w:p>
          <w:p>
            <w:pPr>
              <w:spacing w:before="0" w:after="0" w:line="308"/>
            </w:pPr>
            <w:r>
              <w:rPr>
                <w:rFonts w:ascii="Arial" w:cs="Arial" w:eastAsia="Arial" w:hAnsi="Arial"/>
                <w:b w:val="false"/>
                <w:bCs w:val="false"/>
                <w:i w:val="false"/>
                <w:iCs w:val="false"/>
                <w:color w:val="0F0C07"/>
                <w:sz w:val="21"/>
                <w:szCs w:val="21"/>
              </w:rPr>
              <w:t xml:space="preserve">MKG must implement a Weight Adjustment Network (WAN): a neural architecture that reads live news signals across 13 languages and continuously updates edge weights in the relationship graph. Relationship weight must be a live continuous variable — not a filing-sourced snapshot updated quarterly.</w:t>
            </w:r>
          </w:p>
        </w:tc>
      </w:tr>
    </w:tbl>
    <w:p>
      <w:pPr>
        <w:spacing w:before="60" w:after="0" w:line="240"/>
      </w:pPr>
      <w:r>
        <w:t xml:space="preserve"/>
      </w:r>
    </w:p>
    <w:p>
      <w:pPr>
        <w:spacing w:before="160" w:after="0" w:line="240"/>
      </w:pPr>
      <w:r>
        <w:t xml:space="preserve"/>
      </w:r>
    </w:p>
    <w:p>
      <w:pPr>
        <w:pBdr>
          <w:bottom w:val="single" w:color="A82C14" w:sz="4" w:space="2"/>
        </w:pBdr>
        <w:spacing w:before="0" w:after="80"/>
      </w:pPr>
      <w:r>
        <w:rPr>
          <w:rFonts w:ascii="Arial" w:cs="Arial" w:eastAsia="Arial" w:hAnsi="Arial"/>
          <w:b/>
          <w:bCs/>
          <w:i w:val="false"/>
          <w:iCs w:val="false"/>
          <w:color w:val="A82C14"/>
          <w:sz w:val="26"/>
          <w:szCs w:val="26"/>
        </w:rPr>
        <w:t xml:space="preserve">ROOT CAUSE 2 — No Tool Performs Automated Network Traversal from a Trigger Event</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Even where relationship data exists, no commercial tool traverses a network automatically when a node event occurs. AlphaSense will search for documents about Renesas. RavenPack will produce a Renesas sentiment score. FactSet Revere will show Renesas' Tier-1 customers. But none of them automatically traverses from "Renesas factory fire" through the full supplier network, scores every downstream entity, and delivers a ranked impact list with direction and confidence in 60 seconds.</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This is the single most expensive gap in both verticals. In financial markets, the analyst performs this traversal manually over hours while the alpha window closes. In supply chain, the procurement team performs it manually over days while the disruption escalates and emergency freight costs multiply. In both cases, the solution was always a human expert — never a system. MKG is the first system designed to replace that expert process with automated traversal.</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DESIGN REQUIREMENT — RC2</w:t>
            </w:r>
          </w:p>
          <w:p>
            <w:pPr>
              <w:spacing w:before="0" w:after="0" w:line="308"/>
            </w:pPr>
            <w:r>
              <w:rPr>
                <w:rFonts w:ascii="Arial" w:cs="Arial" w:eastAsia="Arial" w:hAnsi="Arial"/>
                <w:b w:val="false"/>
                <w:bCs w:val="false"/>
                <w:i w:val="false"/>
                <w:iCs w:val="false"/>
                <w:color w:val="0F0C07"/>
                <w:sz w:val="21"/>
                <w:szCs w:val="21"/>
              </w:rPr>
              <w:t xml:space="preserve">MKG must implement a graph traversal engine that: triggers automatically on any qualifying news event (no human initiation required); traverses n hops across all edge types; computes an impact score per downstream entity with direction (positive/negative), confidence interval, and decay across 4 time horizons; delivers the full ranked output in under 60 seconds.</w:t>
            </w:r>
          </w:p>
        </w:tc>
      </w:tr>
    </w:tbl>
    <w:p>
      <w:pPr>
        <w:spacing w:before="60" w:after="0" w:line="240"/>
      </w:pPr>
      <w:r>
        <w:t xml:space="preserve"/>
      </w:r>
    </w:p>
    <w:p>
      <w:pPr>
        <w:spacing w:before="160" w:after="0" w:line="240"/>
      </w:pPr>
      <w:r>
        <w:t xml:space="preserve"/>
      </w:r>
    </w:p>
    <w:p>
      <w:pPr>
        <w:pBdr>
          <w:bottom w:val="single" w:color="A82C14" w:sz="4" w:space="2"/>
        </w:pBdr>
        <w:spacing w:before="0" w:after="80"/>
      </w:pPr>
      <w:r>
        <w:rPr>
          <w:rFonts w:ascii="Arial" w:cs="Arial" w:eastAsia="Arial" w:hAnsi="Arial"/>
          <w:b/>
          <w:bCs/>
          <w:i w:val="false"/>
          <w:iCs w:val="false"/>
          <w:color w:val="A82C14"/>
          <w:sz w:val="26"/>
          <w:szCs w:val="26"/>
        </w:rPr>
        <w:t xml:space="preserve">ROOT CAUSE 3 — Signals in 13+ Languages Go Unread for Days</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Market-moving supply chain and financial signals routinely appear first in non-English sources. China's Ministry of Commerce published yttrium export restrictions in Chinese-language regulatory filings 11 days before English-language trade press coverage (April 2025). Japanese factory incident reports appear in Nikkei Japanese before any English wire. Taiwanese semiconductor changes appear in Chinese industry publications days before English translation. German regulatory changes appear in the Bundesanzeiger in German only.</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No financial data platform provides systematic real-time monitoring of 13+ language sources with entity extraction, relationship signal detection, and weight update triggers. RavenPack monitors 40,000+ sources in 13 languages but does not connect those signals to a graph traversal engine. AlphaSense is overwhelmingly English-language. The language gap is measured in days of warning time — and in the cost of missing that window.</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DESIGN REQUIREMENT — RC3</w:t>
            </w:r>
          </w:p>
          <w:p>
            <w:pPr>
              <w:spacing w:before="0" w:after="0" w:line="308"/>
            </w:pPr>
            <w:r>
              <w:rPr>
                <w:rFonts w:ascii="Arial" w:cs="Arial" w:eastAsia="Arial" w:hAnsi="Arial"/>
                <w:b w:val="false"/>
                <w:bCs w:val="false"/>
                <w:i w:val="false"/>
                <w:iCs w:val="false"/>
                <w:color w:val="0F0C07"/>
                <w:sz w:val="21"/>
                <w:szCs w:val="21"/>
              </w:rPr>
              <w:t xml:space="preserve">MKG must deploy a multilingual scraping agent monitoring sources in 13+ languages (Chinese, Japanese, Korean, German, French, Spanish, Arabic, Portuguese, Dutch, Italian, Hindi, Russian, English) with real-time entity extraction, relationship signal detection, and WAN trigger capability. No language-gated warning time delay is acceptable in either vertical.</w:t>
            </w:r>
          </w:p>
        </w:tc>
      </w:tr>
    </w:tbl>
    <w:p>
      <w:pPr>
        <w:spacing w:before="60" w:after="0" w:line="240"/>
      </w:pPr>
      <w:r>
        <w:t xml:space="preserve"/>
      </w:r>
    </w:p>
    <w:p>
      <w:pPr>
        <w:spacing w:before="160" w:after="0" w:line="240"/>
      </w:pPr>
      <w:r>
        <w:t xml:space="preserve"/>
      </w:r>
    </w:p>
    <w:p>
      <w:pPr>
        <w:pBdr>
          <w:bottom w:val="single" w:color="A82C14" w:sz="4" w:space="2"/>
        </w:pBdr>
        <w:spacing w:before="0" w:after="80"/>
      </w:pPr>
      <w:r>
        <w:rPr>
          <w:rFonts w:ascii="Arial" w:cs="Arial" w:eastAsia="Arial" w:hAnsi="Arial"/>
          <w:b/>
          <w:bCs/>
          <w:i w:val="false"/>
          <w:iCs w:val="false"/>
          <w:color w:val="A82C14"/>
          <w:sz w:val="26"/>
          <w:szCs w:val="26"/>
        </w:rPr>
        <w:t xml:space="preserve">ROOT CAUSE 4 — Institutional Relationship Knowledge Exists Only in Human Heads</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The most comprehensive and accurate relationship intelligence for any sector lives in the mind of its most experienced practitioner. A 15-year semiconductor analyst knows AMAT lags ASML by 3 weeks — not in any database. A 20-year CPO knows their specialty substrate supplier in Taiwan is the leading indicator for TSMC packaging capacity — not in any ERP. A senior equity PM knows a specific CEO systematically sandbags Q3 guidance by 12% — not in any consensus model.</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This is not a data problem — the underlying data existed to derive these insights. It is an encoding problem: there has never been a system designed to capture, formalise, and perpetuate institutional relationship knowledge across analyst generations. When the senior expert retires, the knowledge evaporates. Every new analyst starts from zero. Every new disruption re-teaches lessons the institution already learned and then forgot.</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DESIGN REQUIREMENT — RC4</w:t>
            </w:r>
          </w:p>
          <w:p>
            <w:pPr>
              <w:spacing w:before="0" w:after="0" w:line="308"/>
            </w:pPr>
            <w:r>
              <w:rPr>
                <w:rFonts w:ascii="Arial" w:cs="Arial" w:eastAsia="Arial" w:hAnsi="Arial"/>
                <w:b w:val="false"/>
                <w:bCs w:val="false"/>
                <w:i w:val="false"/>
                <w:iCs w:val="false"/>
                <w:color w:val="0F0C07"/>
                <w:sz w:val="21"/>
                <w:szCs w:val="21"/>
              </w:rPr>
              <w:t xml:space="preserve">MKG must implement tribal knowledge encoding mechanisms: (1) lead-lag edge metadata capturing temporal precedence between entities validated across historical events; (2) per-executive guidance calibration models (stated vs. actual); (3) canary entity identification for both financial and supply chain verticals; (4) per-supplier recovery bias encoding; (5) historical disruption pattern library with temporal graph state replay. All encoded as graph properties — permanent, queryable, survives all team turnover.</w:t>
            </w:r>
          </w:p>
        </w:tc>
      </w:tr>
    </w:tbl>
    <w:p>
      <w:pPr>
        <w:spacing w:before="60" w:after="0" w:line="240"/>
      </w:pPr>
      <w:r>
        <w:t xml:space="preserve"/>
      </w:r>
    </w:p>
    <w:p>
      <w:pPr>
        <w:spacing w:before="160" w:after="0" w:line="240"/>
      </w:pPr>
      <w:r>
        <w:t xml:space="preserve"/>
      </w:r>
    </w:p>
    <w:p>
      <w:pPr>
        <w:pBdr>
          <w:bottom w:val="single" w:color="A82C14" w:sz="4" w:space="2"/>
        </w:pBdr>
        <w:spacing w:before="0" w:after="80"/>
      </w:pPr>
      <w:r>
        <w:rPr>
          <w:rFonts w:ascii="Arial" w:cs="Arial" w:eastAsia="Arial" w:hAnsi="Arial"/>
          <w:b/>
          <w:bCs/>
          <w:i w:val="false"/>
          <w:iCs w:val="false"/>
          <w:color w:val="A82C14"/>
          <w:sz w:val="26"/>
          <w:szCs w:val="26"/>
        </w:rPr>
        <w:t xml:space="preserve">ROOT CAUSE 5 — The Propagation Mechanism Has Never Been a Design Target</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Every tool in market today was designed around entity intelligence: knowing more about individual companies. Bloomberg tells you more about the entity directly affected. AlphaSense surfaces more documents about that entity. RavenPack scores that entity's sentiment. This is an entity-centric paradigm — and it is fundamentally wrong for the problem MKG addresses.</w:t>
      </w:r>
    </w:p>
    <w:p>
      <w:pPr>
        <w:spacing w:before="60" w:after="0" w:line="240"/>
      </w:pPr>
      <w:r>
        <w:t xml:space="preserve"/>
      </w:r>
    </w:p>
    <w:p>
      <w:pPr>
        <w:spacing w:before="80" w:after="100" w:line="308"/>
        <w:jc w:val="left"/>
      </w:pPr>
      <w:r>
        <w:rPr>
          <w:rFonts w:ascii="Arial" w:cs="Arial" w:eastAsia="Arial" w:hAnsi="Arial"/>
          <w:b w:val="false"/>
          <w:bCs w:val="false"/>
          <w:i w:val="false"/>
          <w:iCs w:val="false"/>
          <w:color w:val="0F0C07"/>
          <w:sz w:val="22"/>
          <w:szCs w:val="22"/>
        </w:rPr>
        <w:t xml:space="preserve">The problem is not "what is happening to this entity?" The problem is "what happens to every other entity because something happened to this one?" This requires a different data model (a graph, not a table), a different computation (traversal, not lookup), and a different output (ranked propagation list, not entity profile). Existing tools were never built around this. Every incumbent would need to rebuild their architecture from scratch to compete — not add a feature.</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DESIGN REQUIREMENT — RC5</w:t>
            </w:r>
          </w:p>
          <w:p>
            <w:pPr>
              <w:spacing w:before="0" w:after="0" w:line="308"/>
            </w:pPr>
            <w:r>
              <w:rPr>
                <w:rFonts w:ascii="Arial" w:cs="Arial" w:eastAsia="Arial" w:hAnsi="Arial"/>
                <w:b w:val="false"/>
                <w:bCs w:val="false"/>
                <w:i w:val="false"/>
                <w:iCs w:val="false"/>
                <w:color w:val="0F0C07"/>
                <w:sz w:val="21"/>
                <w:szCs w:val="21"/>
              </w:rPr>
              <w:t xml:space="preserve">MKG must be designed graph-first. The propagation map is the primary product; the entity profile is a side effect. The data model is a weighted, directed, typed, time-versioned knowledge graph. The primary user interaction is "what propagates from this event?" — not "tell me about this company." Every UI element, API endpoint, and output format reinforces the network-centric paradigm.</w:t>
            </w:r>
          </w:p>
        </w:tc>
      </w:tr>
    </w:tbl>
    <w:p>
      <w:pPr>
        <w:spacing w:before="60" w:after="0" w:line="240"/>
      </w:pPr>
      <w:r>
        <w:t xml:space="preserve"/>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03</w:t>
      </w:r>
    </w:p>
    <w:p>
      <w:pPr>
        <w:shd w:fill="1A3A6E" w:val="clear"/>
        <w:spacing w:before="0" w:after="0"/>
        <w:ind w:left="200" w:right="200"/>
      </w:pPr>
      <w:r>
        <w:rPr>
          <w:rFonts w:ascii="Arial" w:cs="Arial" w:eastAsia="Arial" w:hAnsi="Arial"/>
          <w:b/>
          <w:bCs/>
          <w:i w:val="false"/>
          <w:iCs w:val="false"/>
          <w:color w:val="FFFFFF"/>
          <w:sz w:val="34"/>
          <w:szCs w:val="34"/>
        </w:rPr>
        <w:t xml:space="preserve">ACADEMIC EVIDENCE — THE PROVEN BASIS FOR THE PROBLEM</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MKG's problem statement is grounded in 55 years of peer-reviewed research. The anomalies MKG targets are not theoretical — they are documented, persistent, and commercially unexploited. Design teams must understand this evidence because it justifies core architectural decisions and is the intellectual foundation of the product's claims.</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3.1  Post-Earnings Announcement Drift (PEAD)</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Post-Earnings Announcement Drift is the most thoroughly documented market anomaly in academic finance. First identified by Ball and Brown (1968) and continuously documented for over 55 years, the anomaly demonstrates that stock prices continue to drift in the direction of earnings surprises for weeks to months after announcement — meaning the market systematically fails to fully price earnings information at the point of announcement.</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"On Fridays, approximately 60% of the total stock price response to earnings news is delayed by at least one day, compared to non-Friday announcements — direct evidence of structural investor inattention at institutional scale."</w:t>
            </w:r>
          </w:p>
          <w:p>
            <w:pPr>
              <w:spacing w:before="0" w:after="0"/>
            </w:pPr>
            <w:r>
              <w:rPr>
                <w:rFonts w:ascii="Arial" w:cs="Arial" w:eastAsia="Arial" w:hAnsi="Arial"/>
                <w:b w:val="false"/>
                <w:bCs w:val="false"/>
                <w:i w:val="false"/>
                <w:iCs w:val="false"/>
                <w:color w:val="6B6355"/>
                <w:sz w:val="18"/>
                <w:szCs w:val="18"/>
              </w:rPr>
              <w:t xml:space="preserve">DellaVigna &amp; Pollett (2009) — "Investor Inattention and Friday Earnings Announcements," Journal of Finance</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Design implication: If the market does not fully price DIRECT earnings announcements, it is even further from pricing the supply chain contagion and board network effects that propagate FROM those announcements. PEAD is the baseline proof that Speed 3 alpha is exploitable. MKG targets the second and third-order effects of the same events that create PEAD — which are structurally slower to price and require more sophisticated detection infrastructure to identify.</w:t>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Additional PEAD literature directly informing MKG's design:</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Bernard &amp; Thomas (1990): Drift is not attributable to risk or transaction costs — it is a genuine market inefficiency. Magnitude: approximately 18 basis points per standard deviation of earnings surprise, sustained over 60 days.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Hirshleifer &amp; Teoh (2003): Structural investor inattention is the persistence mechanism. Attention is a scarce cognitive resource. PMs cannot monitor all second-order implications of all announcements simultaneously — this is why the window persists.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Sloan (1996): Accruals anomaly confirms that markets systematically fail to process even direct financial statement information within a single earnings cycle.</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3.2  Supply Chain Contagion Research</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A substantial body of peer-reviewed research in Operations Management, Finance, and Economics documents that supply chain shocks propagate through multi-tier supplier networks with measurable, predictable delays. This literature validates both MKG's financial alpha signal and its supply chain disruption intelligence use case simultaneously.</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"Inventory or sales shocks at one firm propagate upstream and downstream through supply chain relationships with 1–2 week transmission delays, creating exploitable alpha windows in cross-firm price discovery."</w:t>
            </w:r>
          </w:p>
          <w:p>
            <w:pPr>
              <w:spacing w:before="0" w:after="0"/>
            </w:pPr>
            <w:r>
              <w:rPr>
                <w:rFonts w:ascii="Arial" w:cs="Arial" w:eastAsia="Arial" w:hAnsi="Arial"/>
                <w:b w:val="false"/>
                <w:bCs w:val="false"/>
                <w:i w:val="false"/>
                <w:iCs w:val="false"/>
                <w:color w:val="6B6355"/>
                <w:sz w:val="18"/>
                <w:szCs w:val="18"/>
              </w:rPr>
              <w:t xml:space="preserve">Production and Operations Management (POM) — Supply Chain Contagion Research, 2024</w:t>
            </w:r>
          </w:p>
        </w:tc>
      </w:tr>
    </w:tbl>
    <w:p>
      <w:pPr>
        <w:spacing w:before="80" w:after="0" w:line="240"/>
      </w:pPr>
      <w:r>
        <w:t xml:space="preserve"/>
      </w:r>
    </w:p>
    <w:p>
      <w:pPr>
        <w:spacing w:before="3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"Tier-1 suppliers demonstrated statistically significant abnormal stock returns in the days BEFORE focal firms' stock prices moved — confirming the existence of lead-lag relationships in supply chain networks that can be systematically detected and exploited."</w:t>
            </w:r>
          </w:p>
          <w:p>
            <w:pPr>
              <w:spacing w:before="0" w:after="0"/>
            </w:pPr>
            <w:r>
              <w:rPr>
                <w:rFonts w:ascii="Arial" w:cs="Arial" w:eastAsia="Arial" w:hAnsi="Arial"/>
                <w:b w:val="false"/>
                <w:bCs w:val="false"/>
                <w:i w:val="false"/>
                <w:iCs w:val="false"/>
                <w:color w:val="6B6355"/>
                <w:sz w:val="18"/>
                <w:szCs w:val="18"/>
              </w:rPr>
              <w:t xml:space="preserve">Shanghai Lockdown Supply Chain Lead-Lag Study — Peer-reviewed, 2022</w:t>
            </w:r>
          </w:p>
        </w:tc>
      </w:tr>
    </w:tbl>
    <w:p>
      <w:pPr>
        <w:spacing w:before="80" w:after="0" w:line="240"/>
      </w:pPr>
      <w:r>
        <w:t xml:space="preserve"/>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Key findings with direct design implications: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Tier-1 suppliers are canaries: they consistently show abnormal returns before focal firms. This validates MKG's lead-lag edge type and canary entity identification requirement.</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Transmission delays of 1–2 weeks are consistent and predictable. This directly informs MKG's 4-horizon decay curve architecture (intraday, 1-week, 1-month, 3-month).</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Crash risk transmits more strongly than positive shocks through supply chain edges. This informs MKG's asymmetric directional weighting in impact score computation.</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Multi-hop propagation — Tier 1 to Tier 2 to Tier 3 — accounts for approximately 50% of total disruption effect. This directly justifies MKG's requirement to traverse beyond direct relationships.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Geographic supplier concentration amplifies contagion. This validates MKG's geopolitical edge type and regional cluster risk scoring.</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3.3  FinDKG — Architectural Validation</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FinDKG (2023) is an open-source dynamic financial knowledge graph system powered by the KGTransformer — an attention-based Graph Neural Network for temporal knowledge graph reasoning. It provides direct academic validation of MKG's core architecture, demonstrating that:</w:t>
      </w:r>
    </w:p>
    <w:p>
      <w:pPr>
        <w:spacing w:before="60" w:after="0" w:line="240"/>
      </w:pPr>
      <w:r>
        <w:t xml:space="preserve"/>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Dynamic knowledge graphs built from financial news outperform static relationship databases for thematic investment identification by 15–30% on precision metrics.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Temporal link prediction — predicting which relationships will form or strengthen based on historical graph evolution — is feasible with current GNN architectures at research scale.</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LLMs fine-tuned for knowledge graph construction (the ICKG model) can extract entities and relationships from financial news at quality sufficient for graph intelligence applications.</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5F0E4" w:val="clear"/>
            <w:tcMar>
              <w:top w:type="dxa" w:w="140"/>
              <w:left w:type="dxa" w:w="220"/>
              <w:bottom w:type="dxa" w:w="140"/>
              <w:right w:type="dxa" w:w="180"/>
            </w:tcMar>
          </w:tcPr>
          <w:p>
            <w:pPr>
              <w:spacing w:before="0" w:after="60"/>
            </w:pPr>
            <w:r>
              <w:rPr>
                <w:rFonts w:ascii="Arial" w:cs="Arial" w:eastAsia="Arial" w:hAnsi="Arial"/>
                <w:b/>
                <w:bCs/>
                <w:i w:val="false"/>
                <w:iCs w:val="false"/>
                <w:color w:val="8A6A10"/>
                <w:sz w:val="18"/>
                <w:szCs w:val="18"/>
              </w:rPr>
              <w:t xml:space="preserve">FINDKG COMMERCIAL STATUS — IMPORTANT</w:t>
            </w:r>
          </w:p>
          <w:p>
            <w:pPr>
              <w:spacing w:before="0" w:after="0" w:line="308"/>
            </w:pPr>
            <w:r>
              <w:rPr>
                <w:rFonts w:ascii="Arial" w:cs="Arial" w:eastAsia="Arial" w:hAnsi="Arial"/>
                <w:b w:val="false"/>
                <w:bCs w:val="false"/>
                <w:i w:val="false"/>
                <w:iCs w:val="false"/>
                <w:color w:val="0F0C07"/>
                <w:sz w:val="21"/>
                <w:szCs w:val="21"/>
              </w:rPr>
              <w:t xml:space="preserve">FinDKG is released under a non-commercial research license. MKG must implement an independent architecture. FinDKG is cited as academic proof of concept only — not as a code base or competitor. Its non-commercial status is precisely why MKG's opportunity exists: the academic proof is complete; the commercial product does not exist.</w:t>
            </w:r>
          </w:p>
        </w:tc>
      </w:tr>
    </w:tbl>
    <w:p>
      <w:pPr>
        <w:spacing w:before="60" w:after="0" w:line="240"/>
      </w:pPr>
      <w:r>
        <w:t xml:space="preserve"/>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3.4  The Structural Persistence Mechanism — Why the Window Stays Open</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does Speed 3 alpha persist for weeks when sophisticated institutional investors are watching? The research documents structural reasons that cannot be arbitraged away with faster data:</w:t>
      </w:r>
    </w:p>
    <w:p>
      <w:pPr>
        <w:spacing w:before="60" w:after="0" w:line="240"/>
      </w:pPr>
      <w:r>
        <w:t xml:space="preserve"/>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Attention scarcity: Portfolio managers cannot simultaneously monitor all second-order implications of all earnings announcements across all supply chains. Cognitive limits are real and irremovable.</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Coverage gaps: Sell-side analyst coverage is concentrated on direct-event companies. Sub-$500M market cap companies — where most supply chain contagion signals first appear — have thin coverage or none at all. The canary suppliers are not in the consensus.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Mandate constraints: Even when an analyst identifies a supply chain contagion signal, compliance restrictions, portfolio concentration limits, and investment committee approval processes slow execution by days to weeks.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Consensus formation: Alpha erodes when consensus forms. But consensus itself requires multiple independent analysts reaching the same conclusion — a process that takes days to weeks for non-obvious second-order signals.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Design implication: MKG does not need to be faster than HFT. It needs to be faster than consensus formation — which operates on days-to-weeks timescales in the Speed 3 domain. A 60-second output latency is amply sufficient to capture and sustain Speed 3 alpha.</w:t>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04</w:t>
      </w:r>
    </w:p>
    <w:p>
      <w:pPr>
        <w:shd w:fill="1A3A6E" w:val="clear"/>
        <w:spacing w:before="0" w:after="0"/>
        <w:ind w:left="200" w:right="200"/>
      </w:pPr>
      <w:r>
        <w:rPr>
          <w:rFonts w:ascii="Arial" w:cs="Arial" w:eastAsia="Arial" w:hAnsi="Arial"/>
          <w:b/>
          <w:bCs/>
          <w:i w:val="false"/>
          <w:iCs w:val="false"/>
          <w:color w:val="FFFFFF"/>
          <w:sz w:val="34"/>
          <w:szCs w:val="34"/>
        </w:rPr>
        <w:t xml:space="preserve">FORMAL PROBLEM STATEMENTS — BOTH VERTICALS</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These are the canonical problem statements for MKG. Every requirement, feature, and design decision must reference one or more of these statements as its formal justification. They are numbered and will be cited throughout all downstream design documents.</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4.1  Financial Markets Vertical — Three Problem Statements</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E" w:sz="1"/>
              <w:left w:val="single" w:color="1A3A6E" w:sz="1"/>
              <w:bottom w:val="single" w:color="1A3A6E" w:sz="1"/>
              <w:right w:val="single" w:color="1A3A6E" w:sz="1"/>
            </w:tcBorders>
            <w:shd w:fill="E6EDF8" w:val="clear"/>
            <w:tcMar>
              <w:top w:type="dxa" w:w="180"/>
              <w:left w:type="dxa" w:w="240"/>
              <w:bottom w:type="dxa" w:w="180"/>
              <w:right w:type="dxa" w:w="240"/>
            </w:tcMar>
          </w:tcPr>
          <w:p>
            <w:pPr>
              <w:spacing w:before="0" w:after="40"/>
            </w:pPr>
            <w:r>
              <w:rPr>
                <w:rFonts w:ascii="Arial" w:cs="Arial" w:eastAsia="Arial" w:hAnsi="Arial"/>
                <w:b/>
                <w:bCs/>
                <w:i w:val="false"/>
                <w:iCs w:val="false"/>
                <w:color w:val="6B6355"/>
                <w:sz w:val="18"/>
                <w:szCs w:val="18"/>
              </w:rPr>
              <w:t xml:space="preserve">PS-FIN-001</w:t>
            </w:r>
          </w:p>
          <w:p>
            <w:pPr>
              <w:spacing w:before="0" w:after="120"/>
            </w:pPr>
            <w:r>
              <w:rPr>
                <w:rFonts w:ascii="Arial" w:cs="Arial" w:eastAsia="Arial" w:hAnsi="Arial"/>
                <w:b/>
                <w:bCs/>
                <w:i w:val="false"/>
                <w:iCs w:val="false"/>
                <w:color w:val="1A3A6E"/>
                <w:sz w:val="24"/>
                <w:szCs w:val="24"/>
              </w:rPr>
              <w:t xml:space="preserve">THE SPEED 3 ALPHA GAP</w:t>
            </w:r>
          </w:p>
          <w:p>
            <w:pPr>
              <w:spacing w:before="0" w:after="0" w:line="308"/>
            </w:pPr>
            <w:r>
              <w:rPr>
                <w:rFonts w:ascii="Arial" w:cs="Arial" w:eastAsia="Arial" w:hAnsi="Arial"/>
                <w:b w:val="false"/>
                <w:bCs w:val="false"/>
                <w:i w:val="false"/>
                <w:iCs w:val="false"/>
                <w:color w:val="0F0C07"/>
                <w:sz w:val="21"/>
                <w:szCs w:val="21"/>
              </w:rPr>
              <w:t xml:space="preserve">When a market-moving event occurs at any company, the full economic impact propagates through that company's relationship network — supply chains, board interlocks, joint ventures, regulatory co-exposures, customer dependencies, and licensing agreements — over 1 to 14 weeks. This propagation is documented in peer-reviewed literature, observable in post-announcement price data, and commercially unexploited because no system reads the relationship network dynamically, updates edge weights from live news, traverses the network automatically, and delivers ranked impact scores in under 60 seconds. Portfolio managers and analysts currently perform this analysis manually over hours to days. By the time manual analysis is complete, a significant portion of the exploitable drift has been captured by faster movers or closed by consensus formation. The cost of this gap is measured in alpha left unrealised on every earnings cycle, every regulatory announcement, every leadership transition, and every supply chain shock.</w:t>
            </w:r>
          </w:p>
        </w:tc>
      </w:tr>
    </w:tbl>
    <w:p>
      <w:pPr>
        <w:spacing w:before="10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E" w:sz="1"/>
              <w:left w:val="single" w:color="1A3A6E" w:sz="1"/>
              <w:bottom w:val="single" w:color="1A3A6E" w:sz="1"/>
              <w:right w:val="single" w:color="1A3A6E" w:sz="1"/>
            </w:tcBorders>
            <w:shd w:fill="E6EDF8" w:val="clear"/>
            <w:tcMar>
              <w:top w:type="dxa" w:w="180"/>
              <w:left w:type="dxa" w:w="240"/>
              <w:bottom w:type="dxa" w:w="180"/>
              <w:right w:type="dxa" w:w="240"/>
            </w:tcMar>
          </w:tcPr>
          <w:p>
            <w:pPr>
              <w:spacing w:before="0" w:after="40"/>
            </w:pPr>
            <w:r>
              <w:rPr>
                <w:rFonts w:ascii="Arial" w:cs="Arial" w:eastAsia="Arial" w:hAnsi="Arial"/>
                <w:b/>
                <w:bCs/>
                <w:i w:val="false"/>
                <w:iCs w:val="false"/>
                <w:color w:val="6B6355"/>
                <w:sz w:val="18"/>
                <w:szCs w:val="18"/>
              </w:rPr>
              <w:t xml:space="preserve">PS-FIN-002</w:t>
            </w:r>
          </w:p>
          <w:p>
            <w:pPr>
              <w:spacing w:before="0" w:after="120"/>
            </w:pPr>
            <w:r>
              <w:rPr>
                <w:rFonts w:ascii="Arial" w:cs="Arial" w:eastAsia="Arial" w:hAnsi="Arial"/>
                <w:b/>
                <w:bCs/>
                <w:i w:val="false"/>
                <w:iCs w:val="false"/>
                <w:color w:val="1A3A6E"/>
                <w:sz w:val="24"/>
                <w:szCs w:val="24"/>
              </w:rPr>
              <w:t xml:space="preserve">THE STATIC GRAPH PROBLEM</w:t>
            </w:r>
          </w:p>
          <w:p>
            <w:pPr>
              <w:spacing w:before="0" w:after="0" w:line="308"/>
            </w:pPr>
            <w:r>
              <w:rPr>
                <w:rFonts w:ascii="Arial" w:cs="Arial" w:eastAsia="Arial" w:hAnsi="Arial"/>
                <w:b w:val="false"/>
                <w:bCs w:val="false"/>
                <w:i w:val="false"/>
                <w:iCs w:val="false"/>
                <w:color w:val="0F0C07"/>
                <w:sz w:val="21"/>
                <w:szCs w:val="21"/>
              </w:rPr>
              <w:t xml:space="preserve">Existing relationship databases — FactSet Revere, S&amp;P Capital IQ board networks, Bloomberg generic company links — store relationships as static, filing-sourced entries updated quarterly at best. They reflect what companies disclosed in their most recent annual report, not the current economic reality of the relationship. When actual operational dependencies change between filing cycles — through capacity shifts, contract renegotiations, executive departures, supply chain restructurings, or geopolitical developments — no existing system detects and encodes those changes automatically. Analysts working from static graphs make decisions based on outdated relationship weights, systematically missing the first-mover advantage available to those with current intelligence. The edge weight that matters is not the one from the 10-K filed six months ago — it is the one implied by the news from this morning.</w:t>
            </w:r>
          </w:p>
        </w:tc>
      </w:tr>
    </w:tbl>
    <w:p>
      <w:pPr>
        <w:spacing w:before="10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E" w:sz="1"/>
              <w:left w:val="single" w:color="1A3A6E" w:sz="1"/>
              <w:bottom w:val="single" w:color="1A3A6E" w:sz="1"/>
              <w:right w:val="single" w:color="1A3A6E" w:sz="1"/>
            </w:tcBorders>
            <w:shd w:fill="E6EDF8" w:val="clear"/>
            <w:tcMar>
              <w:top w:type="dxa" w:w="180"/>
              <w:left w:type="dxa" w:w="240"/>
              <w:bottom w:type="dxa" w:w="180"/>
              <w:right w:type="dxa" w:w="240"/>
            </w:tcMar>
          </w:tcPr>
          <w:p>
            <w:pPr>
              <w:spacing w:before="0" w:after="40"/>
            </w:pPr>
            <w:r>
              <w:rPr>
                <w:rFonts w:ascii="Arial" w:cs="Arial" w:eastAsia="Arial" w:hAnsi="Arial"/>
                <w:b/>
                <w:bCs/>
                <w:i w:val="false"/>
                <w:iCs w:val="false"/>
                <w:color w:val="6B6355"/>
                <w:sz w:val="18"/>
                <w:szCs w:val="18"/>
              </w:rPr>
              <w:t xml:space="preserve">PS-FIN-003</w:t>
            </w:r>
          </w:p>
          <w:p>
            <w:pPr>
              <w:spacing w:before="0" w:after="120"/>
            </w:pPr>
            <w:r>
              <w:rPr>
                <w:rFonts w:ascii="Arial" w:cs="Arial" w:eastAsia="Arial" w:hAnsi="Arial"/>
                <w:b/>
                <w:bCs/>
                <w:i w:val="false"/>
                <w:iCs w:val="false"/>
                <w:color w:val="1A3A6E"/>
                <w:sz w:val="24"/>
                <w:szCs w:val="24"/>
              </w:rPr>
              <w:t xml:space="preserve">THE TRIBAL KNOWLEDGE DESTRUCTION PROBLEM — FINANCIAL</w:t>
            </w:r>
          </w:p>
          <w:p>
            <w:pPr>
              <w:spacing w:before="0" w:after="0" w:line="308"/>
            </w:pPr>
            <w:r>
              <w:rPr>
                <w:rFonts w:ascii="Arial" w:cs="Arial" w:eastAsia="Arial" w:hAnsi="Arial"/>
                <w:b w:val="false"/>
                <w:bCs w:val="false"/>
                <w:i w:val="false"/>
                <w:iCs w:val="false"/>
                <w:color w:val="0F0C07"/>
                <w:sz w:val="21"/>
                <w:szCs w:val="21"/>
              </w:rPr>
              <w:t xml:space="preserve">The most complete and accurate financial relationship maps in any sector exist in the heads of the most experienced analysts and portfolio managers. This tribal knowledge — built over 10–20 years of observing earnings cycles, supply chain disruptions, M&amp;A transactions, and regulatory changes — includes: canary company relationships (which small, under-covered entities consistently signal sector-wide moves weeks in advance); guidance calibration (how much each executive systematically over- or under-states guidance by quarter); lead-lag relationships (which entities' events consistently precede others' price moves by predictable windows); and cycle sequence memory (the precise order in which companies in a sector move during upcycles and downcycles). This knowledge is never documented in any research note or database — documenting it publicly would front-run the signal and expose the analyst. When the expert retires, the institutional memory evaporates. New analysts start from zero. The cost is measured in every disruption that "nobody saw coming" — when in fact the person who saw it coming retired eighteen months earlier.</w:t>
            </w:r>
          </w:p>
        </w:tc>
      </w:tr>
    </w:tbl>
    <w:p>
      <w:pPr>
        <w:spacing w:before="100" w:after="0" w:line="240"/>
      </w:pPr>
      <w:r>
        <w:t xml:space="preserve"/>
      </w:r>
    </w:p>
    <w:p>
      <w:pPr>
        <w:spacing w:before="160" w:after="0" w:line="240"/>
      </w:pPr>
      <w:r>
        <w:t xml:space="preserve"/>
      </w:r>
    </w:p>
    <w:p>
      <w:pPr>
        <w:pBdr>
          <w:bottom w:val="single" w:color="1E5C38" w:sz="4" w:space="2"/>
        </w:pBdr>
        <w:spacing w:before="0" w:after="80"/>
      </w:pPr>
      <w:r>
        <w:rPr>
          <w:rFonts w:ascii="Arial" w:cs="Arial" w:eastAsia="Arial" w:hAnsi="Arial"/>
          <w:b/>
          <w:bCs/>
          <w:i w:val="false"/>
          <w:iCs w:val="false"/>
          <w:color w:val="1E5C38"/>
          <w:sz w:val="26"/>
          <w:szCs w:val="26"/>
        </w:rPr>
        <w:t xml:space="preserve">4.2  Supply Chain Vertical — Three Problem Statements</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8" w:sz="1"/>
              <w:left w:val="single" w:color="1E5C38" w:sz="1"/>
              <w:bottom w:val="single" w:color="1E5C38" w:sz="1"/>
              <w:right w:val="single" w:color="1E5C38" w:sz="1"/>
            </w:tcBorders>
            <w:shd w:fill="E6F2EB" w:val="clear"/>
            <w:tcMar>
              <w:top w:type="dxa" w:w="180"/>
              <w:left w:type="dxa" w:w="240"/>
              <w:bottom w:type="dxa" w:w="180"/>
              <w:right w:type="dxa" w:w="240"/>
            </w:tcMar>
          </w:tcPr>
          <w:p>
            <w:pPr>
              <w:spacing w:before="0" w:after="40"/>
            </w:pPr>
            <w:r>
              <w:rPr>
                <w:rFonts w:ascii="Arial" w:cs="Arial" w:eastAsia="Arial" w:hAnsi="Arial"/>
                <w:b/>
                <w:bCs/>
                <w:i w:val="false"/>
                <w:iCs w:val="false"/>
                <w:color w:val="6B6355"/>
                <w:sz w:val="18"/>
                <w:szCs w:val="18"/>
              </w:rPr>
              <w:t xml:space="preserve">PS-SC-001</w:t>
            </w:r>
          </w:p>
          <w:p>
            <w:pPr>
              <w:spacing w:before="0" w:after="120"/>
            </w:pPr>
            <w:r>
              <w:rPr>
                <w:rFonts w:ascii="Arial" w:cs="Arial" w:eastAsia="Arial" w:hAnsi="Arial"/>
                <w:b/>
                <w:bCs/>
                <w:i w:val="false"/>
                <w:iCs w:val="false"/>
                <w:color w:val="1E5C38"/>
                <w:sz w:val="24"/>
                <w:szCs w:val="24"/>
              </w:rPr>
              <w:t xml:space="preserve">THE TIER-3 BLIND SPOT</w:t>
            </w:r>
          </w:p>
          <w:p>
            <w:pPr>
              <w:spacing w:before="0" w:after="0" w:line="308"/>
            </w:pPr>
            <w:r>
              <w:rPr>
                <w:rFonts w:ascii="Arial" w:cs="Arial" w:eastAsia="Arial" w:hAnsi="Arial"/>
                <w:b w:val="false"/>
                <w:bCs w:val="false"/>
                <w:i w:val="false"/>
                <w:iCs w:val="false"/>
                <w:color w:val="0F0C07"/>
                <w:sz w:val="21"/>
                <w:szCs w:val="21"/>
              </w:rPr>
              <w:t xml:space="preserve">Supply chain disruptions almost always originate beyond Tier 1 — in sub-suppliers, specialist component makers, and raw material producers that focal companies have no direct relationship with and no visibility into. Only 6% of companies have full supply chain visibility past Tier 1. Disruptions cascade from Tier 3 through Tier 2 to Tier 1 before reaching the focal company — a propagation sequence that takes weeks and is completely preventable with earlier signal detection. The signals appear in public news sources — factory fire reports, regulatory announcements, weather tracking, financial filing alerts — days to weeks before the disruption reaches production lines. No system reads those signals, maps them to a dynamic multi-tier supplier graph, traverses that graph to identify affected entities, and delivers a production impact assessment to the procurement team within 60 seconds of signal detection. Companies discover Tier-3 disruptions only when Tier-1 suppliers begin failing — and by then emergency freight at 200–400% premium is the only remaining option.</w:t>
            </w:r>
          </w:p>
        </w:tc>
      </w:tr>
    </w:tbl>
    <w:p>
      <w:pPr>
        <w:spacing w:before="10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8" w:sz="1"/>
              <w:left w:val="single" w:color="1E5C38" w:sz="1"/>
              <w:bottom w:val="single" w:color="1E5C38" w:sz="1"/>
              <w:right w:val="single" w:color="1E5C38" w:sz="1"/>
            </w:tcBorders>
            <w:shd w:fill="E6F2EB" w:val="clear"/>
            <w:tcMar>
              <w:top w:type="dxa" w:w="180"/>
              <w:left w:type="dxa" w:w="240"/>
              <w:bottom w:type="dxa" w:w="180"/>
              <w:right w:type="dxa" w:w="240"/>
            </w:tcMar>
          </w:tcPr>
          <w:p>
            <w:pPr>
              <w:spacing w:before="0" w:after="40"/>
            </w:pPr>
            <w:r>
              <w:rPr>
                <w:rFonts w:ascii="Arial" w:cs="Arial" w:eastAsia="Arial" w:hAnsi="Arial"/>
                <w:b/>
                <w:bCs/>
                <w:i w:val="false"/>
                <w:iCs w:val="false"/>
                <w:color w:val="6B6355"/>
                <w:sz w:val="18"/>
                <w:szCs w:val="18"/>
              </w:rPr>
              <w:t xml:space="preserve">PS-SC-002</w:t>
            </w:r>
          </w:p>
          <w:p>
            <w:pPr>
              <w:spacing w:before="0" w:after="120"/>
            </w:pPr>
            <w:r>
              <w:rPr>
                <w:rFonts w:ascii="Arial" w:cs="Arial" w:eastAsia="Arial" w:hAnsi="Arial"/>
                <w:b/>
                <w:bCs/>
                <w:i w:val="false"/>
                <w:iCs w:val="false"/>
                <w:color w:val="1E5C38"/>
                <w:sz w:val="24"/>
                <w:szCs w:val="24"/>
              </w:rPr>
              <w:t xml:space="preserve">THE LANGUAGE-GATED SIGNAL PROBLEM</w:t>
            </w:r>
          </w:p>
          <w:p>
            <w:pPr>
              <w:spacing w:before="0" w:after="0" w:line="308"/>
            </w:pPr>
            <w:r>
              <w:rPr>
                <w:rFonts w:ascii="Arial" w:cs="Arial" w:eastAsia="Arial" w:hAnsi="Arial"/>
                <w:b w:val="false"/>
                <w:bCs w:val="false"/>
                <w:i w:val="false"/>
                <w:iCs w:val="false"/>
                <w:color w:val="0F0C07"/>
                <w:sz w:val="21"/>
                <w:szCs w:val="21"/>
              </w:rPr>
              <w:t xml:space="preserve">The most valuable early warning signals for supply chain disruptions appear first in non-English sources, and companies without multilingual real-time monitoring systematically miss 5–15 days of warning time on events originating in Asian and European markets — the most supply-chain-dense regions globally. China's Ministry of Commerce published yttrium export restrictions in Chinese-language regulatory filings 11 days before English-language trade press coverage (April 2025). Japanese factory incident reports appear in Nikkei Japanese before any English wire service. Taiwanese semiconductor supply chain changes appear in Chinese industry publications days before English translation becomes available. German regulatory changes appear in the Bundesanzeiger in German only. This is not a data access problem — the sources are all publicly available. It is a language monitoring problem: no SCRM or financial data platform provides systematic real-time processing of 13+ language source pools connected to a graph traversal engine.</w:t>
            </w:r>
          </w:p>
        </w:tc>
      </w:tr>
    </w:tbl>
    <w:p>
      <w:pPr>
        <w:spacing w:before="10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8" w:sz="1"/>
              <w:left w:val="single" w:color="1E5C38" w:sz="1"/>
              <w:bottom w:val="single" w:color="1E5C38" w:sz="1"/>
              <w:right w:val="single" w:color="1E5C38" w:sz="1"/>
            </w:tcBorders>
            <w:shd w:fill="E6F2EB" w:val="clear"/>
            <w:tcMar>
              <w:top w:type="dxa" w:w="180"/>
              <w:left w:type="dxa" w:w="240"/>
              <w:bottom w:type="dxa" w:w="180"/>
              <w:right w:type="dxa" w:w="240"/>
            </w:tcMar>
          </w:tcPr>
          <w:p>
            <w:pPr>
              <w:spacing w:before="0" w:after="40"/>
            </w:pPr>
            <w:r>
              <w:rPr>
                <w:rFonts w:ascii="Arial" w:cs="Arial" w:eastAsia="Arial" w:hAnsi="Arial"/>
                <w:b/>
                <w:bCs/>
                <w:i w:val="false"/>
                <w:iCs w:val="false"/>
                <w:color w:val="6B6355"/>
                <w:sz w:val="18"/>
                <w:szCs w:val="18"/>
              </w:rPr>
              <w:t xml:space="preserve">PS-SC-003</w:t>
            </w:r>
          </w:p>
          <w:p>
            <w:pPr>
              <w:spacing w:before="0" w:after="120"/>
            </w:pPr>
            <w:r>
              <w:rPr>
                <w:rFonts w:ascii="Arial" w:cs="Arial" w:eastAsia="Arial" w:hAnsi="Arial"/>
                <w:b/>
                <w:bCs/>
                <w:i w:val="false"/>
                <w:iCs w:val="false"/>
                <w:color w:val="1E5C38"/>
                <w:sz w:val="24"/>
                <w:szCs w:val="24"/>
              </w:rPr>
              <w:t xml:space="preserve">THE TRIBAL KNOWLEDGE DESTRUCTION PROBLEM — SUPPLY CHAIN</w:t>
            </w:r>
          </w:p>
          <w:p>
            <w:pPr>
              <w:spacing w:before="0" w:after="0" w:line="308"/>
            </w:pPr>
            <w:r>
              <w:rPr>
                <w:rFonts w:ascii="Arial" w:cs="Arial" w:eastAsia="Arial" w:hAnsi="Arial"/>
                <w:b w:val="false"/>
                <w:bCs w:val="false"/>
                <w:i w:val="false"/>
                <w:iCs w:val="false"/>
                <w:color w:val="0F0C07"/>
                <w:sz w:val="21"/>
                <w:szCs w:val="21"/>
              </w:rPr>
              <w:t xml:space="preserve">Senior supply chain and procurement leaders carry irreplaceable institutional knowledge that no ERP, SCRM, or procurement workflow tool has ever been designed to capture: which listed alternates are actually unqualified (silent single-source dependencies that look like redundancy but are not); which suppliers systematically overstate or understate recovery timelines during disruptions; which small, under-monitored suppliers signal sector-wide disruptions 4–8 weeks in advance; what the recovery sequence looks like when a disruption matches a historical pattern; and which suppliers will prioritise your orders when capacity is constrained regardless of your contract position. This knowledge is built over 15–20 years of direct operational experience and is never documented in any system — documenting it would expose commercial intelligence about supplier relationships. When a CPO retires or a procurement director changes roles, the knowledge evaporates. The next disruption, the team starts from zero. The cost is measured in emergency freight premiums, production line shutdowns, customer SLA breaches, and force majeures that were preventable by the institutional memory that just left the building.</w:t>
            </w:r>
          </w:p>
        </w:tc>
      </w:tr>
    </w:tbl>
    <w:p>
      <w:pPr>
        <w:spacing w:before="100" w:after="0" w:line="240"/>
      </w:pPr>
      <w:r>
        <w:t xml:space="preserve"/>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05</w:t>
      </w:r>
    </w:p>
    <w:p>
      <w:pPr>
        <w:shd w:fill="1A3A6E" w:val="clear"/>
        <w:spacing w:before="0" w:after="0"/>
        <w:ind w:left="200" w:right="200"/>
      </w:pPr>
      <w:r>
        <w:rPr>
          <w:rFonts w:ascii="Arial" w:cs="Arial" w:eastAsia="Arial" w:hAnsi="Arial"/>
          <w:b/>
          <w:bCs/>
          <w:i w:val="false"/>
          <w:iCs w:val="false"/>
          <w:color w:val="FFFFFF"/>
          <w:sz w:val="34"/>
          <w:szCs w:val="34"/>
        </w:rPr>
        <w:t xml:space="preserve">PROBLEM ANATOMY — THE FIVE LAYERS OF THE GAP</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 relationship intelligence gap has five distinct failure layers. MKG must address all five. A solution that addresses four of five will reproduce a smaller version of the same gap and will fail to achieve institutional adoption in either vertical.</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LAYER 1 — The Data Layer: Signals exist but are not connected</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All raw information required to build a dynamic relationship graph exists today in public sources. News articles report factory fires, regulatory changes, earnings beats, executive departures, and geopolitical events in real time. SEC filings document customer concentrations and supplier relationships. Customs records document actual trade flows. Earnings call transcripts contain measurable guidance with historical accuracy records. The failure at the data layer is not availability — it is connection. These sources exist in silos: news in news terminals, filings in EDGAR, customs data in Panjiva, call transcripts in AlphaSense. No system reads all of them, extracts entities and relationships from each, and maintains a single unified weighted graph that updates continuously from all sources simultaneously.</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LAYER 1 DESIGN REQUIREMENT</w:t>
            </w:r>
          </w:p>
          <w:p>
            <w:pPr>
              <w:spacing w:before="0" w:after="0" w:line="308"/>
            </w:pPr>
            <w:r>
              <w:rPr>
                <w:rFonts w:ascii="Arial" w:cs="Arial" w:eastAsia="Arial" w:hAnsi="Arial"/>
                <w:b w:val="false"/>
                <w:bCs w:val="false"/>
                <w:i w:val="false"/>
                <w:iCs w:val="false"/>
                <w:color w:val="0F0C07"/>
                <w:sz w:val="21"/>
                <w:szCs w:val="21"/>
              </w:rPr>
              <w:t xml:space="preserve">MKG must ingest and process: (1) multilingual news streams across 13 languages; (2) SEC/international regulatory filings; (3) earnings call transcripts and guidance data; (4) trade and customs flow data; (5) alternative data signals relevant to relationship quality. All sources must feed a single unified entity-relationship extraction pipeline updating the same knowledge graph.</w:t>
            </w:r>
          </w:p>
        </w:tc>
      </w:tr>
    </w:tbl>
    <w:p>
      <w:pPr>
        <w:spacing w:before="6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LAYER 2 — The Representation Layer: The missing dynamic graph</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Even where relationship data exists, it is stored in the wrong representation. Table-based databases store company data as rows with attributes. Static relationship databases store relationships as binary connections or percentage weights updated quarterly. Neither representation supports: continuous weight updates from news signals; multi-hop traversal computation; temporal versioning; typed edge differentiation (supply chain vs. board interlock vs. JV vs. regulatory co-exposure vs. customer dependency vs. licensing); or lead-lag temporal metadata encoding.</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 correct representation is a weighted, directed, typed, time-versioned knowledge graph. Nodes are entities (companies, executives, regulators, geographies, products, regulatory bodies). Edges are typed relationships with weights, temporal validity windows, and full metadata. The graph structure is the product — not a visualisation of the product.</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LAYER 2 DESIGN REQUIREMENT</w:t>
            </w:r>
          </w:p>
          <w:p>
            <w:pPr>
              <w:spacing w:before="0" w:after="0" w:line="308"/>
            </w:pPr>
            <w:r>
              <w:rPr>
                <w:rFonts w:ascii="Arial" w:cs="Arial" w:eastAsia="Arial" w:hAnsi="Arial"/>
                <w:b w:val="false"/>
                <w:bCs w:val="false"/>
                <w:i w:val="false"/>
                <w:iCs w:val="false"/>
                <w:color w:val="0F0C07"/>
                <w:sz w:val="21"/>
                <w:szCs w:val="21"/>
              </w:rPr>
              <w:t xml:space="preserve">MKG's data model must be a knowledge graph, not a relational database. Every relationship edge must carry: (1) type (supply_chain / board_interlock / joint_venture / regulatory_co_exposure / customer / licensing / competitive); (2) direction (A supplies to B — not "A and B are related"); (3) continuous weight [0.0–1.0] updated from news; (4) temporal validity windows; (5) lead-lag metadata where statistically validated; (6) full provenance (source document, date, confidence score).</w:t>
            </w:r>
          </w:p>
        </w:tc>
      </w:tr>
    </w:tbl>
    <w:p>
      <w:pPr>
        <w:spacing w:before="6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LAYER 3 — The Weight Layer: The absent neural adjustment network</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 relationship weight is the most critical and the most absent element across all existing platforms. A relationship weight answers: "how strongly does an event at Node A affect Node B through this edge?" It must be a continuous variable — not binary, not a filing-sourced percentage — that updates when news changes the economic reality of the connection.</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 Weight Adjustment Network (WAN) is MKG's novel architectural contribution at this layer. The WAN is a neural network that: reads incoming news signals from the multilingual scraping agent; extracts the entities and relationship types referenced; computes the direction and magnitude of the implied weight change; and updates the relevant edge weights in the knowledge graph within 30 seconds. No commercial system implements an equivalent. FinDKG demonstrates feasibility at research scale; MKG must implement it at enterprise production scale with full auditability.</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LAYER 3 DESIGN REQUIREMENT</w:t>
            </w:r>
          </w:p>
          <w:p>
            <w:pPr>
              <w:spacing w:before="0" w:after="0" w:line="308"/>
            </w:pPr>
            <w:r>
              <w:rPr>
                <w:rFonts w:ascii="Arial" w:cs="Arial" w:eastAsia="Arial" w:hAnsi="Arial"/>
                <w:b w:val="false"/>
                <w:bCs w:val="false"/>
                <w:i w:val="false"/>
                <w:iCs w:val="false"/>
                <w:color w:val="0F0C07"/>
                <w:sz w:val="21"/>
                <w:szCs w:val="21"/>
              </w:rPr>
              <w:t xml:space="preserve">MKG must implement a WAN with these properties: reads news signals in real-time from the scraping agent; extracts entity pairs and inferred relationship changes; updates edge weights within 30 seconds of signal receipt; logs every weight change with full provenance (signal source, timestamp, confidence, magnitude); supports weight decay over time when contradicting signals are absent; independently auditable for regulatory compliance purposes.</w:t>
            </w:r>
          </w:p>
        </w:tc>
      </w:tr>
    </w:tbl>
    <w:p>
      <w:pPr>
        <w:spacing w:before="6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LAYER 4 — The Traversal Layer: The missing propagation engine</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Even with a dynamic weighted graph, insight does not emerge automatically. A trigger event at any node must automatically initiate a graph traversal that: identifies all connected nodes within traversal scope; weights the propagation path by edge type, edge weight, and hop distance; computes an impact score for each reached node; assigns direction (positive/negative/neutral); assigns a confidence interval; decays impact over 4 time horizons; and presents the full ranked output within 60 seconds. This traversal engine is the core user-facing product.</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LAYER 4 DESIGN REQUIREMENT</w:t>
            </w:r>
          </w:p>
          <w:p>
            <w:pPr>
              <w:spacing w:before="0" w:after="0" w:line="308"/>
            </w:pPr>
            <w:r>
              <w:rPr>
                <w:rFonts w:ascii="Arial" w:cs="Arial" w:eastAsia="Arial" w:hAnsi="Arial"/>
                <w:b w:val="false"/>
                <w:bCs w:val="false"/>
                <w:i w:val="false"/>
                <w:iCs w:val="false"/>
                <w:color w:val="0F0C07"/>
                <w:sz w:val="21"/>
                <w:szCs w:val="21"/>
              </w:rPr>
              <w:t xml:space="preserve">The traversal engine must: trigger automatically on qualifying news events without human initiation; traverse all edge types to configurable hop depth (default 3, max 6); compute impact scores with direction and confidence per downstream entity; produce decay curves across 4 horizons (intraday / 1-week / 1-month / 3-month); complete within 60 seconds for any graph up to 100,000 nodes; generate a full causal chain for every score (event → edge → weight → score → source documents).</w:t>
            </w:r>
          </w:p>
        </w:tc>
      </w:tr>
    </w:tbl>
    <w:p>
      <w:pPr>
        <w:spacing w:before="6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LAYER 5 — The Output Layer: The missing explainability and compliance chain</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Even with a working traversal engine, output is unusable for institutional investment or operational decisions without full explainability. MiFID II requires investment decisions to be traceable to documented evidence. EU CSDD requires continuous multi-tier supply chain due diligence documentation. Investment committees require that any AI-generated signal carry a fully auditable causal chain before it can be acted upon. No existing financial data platform or SCRM tool provides a machine-generated causal chain connecting a news event through specific graph edges to a specific impact score with specific source citations.</w:t>
      </w:r>
    </w:p>
    <w:p>
      <w:pPr>
        <w:spacing w:before="6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2C14" w:sz="20"/>
              <w:bottom w:val="none" w:color="FFFFFF" w:sz="0"/>
              <w:right w:val="none" w:color="FFFFFF" w:sz="0"/>
            </w:tcBorders>
            <w:shd w:fill="F8EDE9" w:val="clear"/>
            <w:tcMar>
              <w:top w:type="dxa" w:w="140"/>
              <w:left w:type="dxa" w:w="220"/>
              <w:bottom w:type="dxa" w:w="140"/>
              <w:right w:type="dxa" w:w="180"/>
            </w:tcMar>
          </w:tcPr>
          <w:p>
            <w:pPr>
              <w:spacing w:before="0" w:after="60"/>
            </w:pPr>
            <w:r>
              <w:rPr>
                <w:rFonts w:ascii="Arial" w:cs="Arial" w:eastAsia="Arial" w:hAnsi="Arial"/>
                <w:b/>
                <w:bCs/>
                <w:i w:val="false"/>
                <w:iCs w:val="false"/>
                <w:color w:val="A82C14"/>
                <w:sz w:val="18"/>
                <w:szCs w:val="18"/>
              </w:rPr>
              <w:t xml:space="preserve">LAYER 5 DESIGN REQUIREMENT</w:t>
            </w:r>
          </w:p>
          <w:p>
            <w:pPr>
              <w:spacing w:before="0" w:after="0" w:line="308"/>
            </w:pPr>
            <w:r>
              <w:rPr>
                <w:rFonts w:ascii="Arial" w:cs="Arial" w:eastAsia="Arial" w:hAnsi="Arial"/>
                <w:b w:val="false"/>
                <w:bCs w:val="false"/>
                <w:i w:val="false"/>
                <w:iCs w:val="false"/>
                <w:color w:val="0F0C07"/>
                <w:sz w:val="21"/>
                <w:szCs w:val="21"/>
              </w:rPr>
              <w:t xml:space="preserve">Every impact score MKG produces must be accompanied by: (1) a complete machine-readable causal chain (event → edges traversed → weights applied → scores computed); (2) provenance links to source documents with timestamps; (3) timestamp of the exact graph state used for traversal; (4) confidence interval and its basis; (5) export in formats acceptable as MiFID II audit trails (financial vertical) and EU CSDD compliance documentation (supply chain vertical). Explainability is a prerequisite for institutional adoption — not a feature to be added later.</w:t>
            </w:r>
          </w:p>
        </w:tc>
      </w:tr>
    </w:tbl>
    <w:p>
      <w:pPr>
        <w:spacing w:before="60" w:after="0" w:line="240"/>
      </w:pPr>
      <w:r>
        <w:t xml:space="preserve"/>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06</w:t>
      </w:r>
    </w:p>
    <w:p>
      <w:pPr>
        <w:shd w:fill="1A3A6E" w:val="clear"/>
        <w:spacing w:before="0" w:after="0"/>
        <w:ind w:left="200" w:right="200"/>
      </w:pPr>
      <w:r>
        <w:rPr>
          <w:rFonts w:ascii="Arial" w:cs="Arial" w:eastAsia="Arial" w:hAnsi="Arial"/>
          <w:b/>
          <w:bCs/>
          <w:i w:val="false"/>
          <w:iCs w:val="false"/>
          <w:color w:val="FFFFFF"/>
          <w:sz w:val="34"/>
          <w:szCs w:val="34"/>
        </w:rPr>
        <w:t xml:space="preserve">TRIBAL KNOWLEDGE — DETAILED SPECIFICATION</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Tribal knowledge destruction is the second most commercially important problem MKG solves, after graph traversal. It is also the most defensible competitive moat: every competitor can improve data quality and monitoring coverage, but no competitor can replicate institutional relationship intelligence that took 20 years to build in a human expert. This section specifies each tribal knowledge type with its loss mechanism and exact MKG encoding approach. These specifications directly drive the graph schema.</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6.1  Financial Markets — Four Tribal Knowledge Types</w:t>
      </w:r>
    </w:p>
    <w:p>
      <w:pPr>
        <w:spacing w:before="6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A3A6E"/>
          <w:sz w:val="22"/>
          <w:szCs w:val="22"/>
        </w:rPr>
        <w:t xml:space="preserve">F-TK-01: Lead-Lag Relationship Maps</w:t>
      </w:r>
    </w:p>
    <w:p>
      <w:pPr>
        <w:spacing w:before="80" w:after="100" w:line="308"/>
      </w:pPr>
      <w:r>
        <w:rPr>
          <w:rFonts w:ascii="Arial" w:cs="Arial" w:eastAsia="Arial" w:hAnsi="Arial"/>
          <w:b w:val="false"/>
          <w:bCs w:val="false"/>
          <w:i w:val="false"/>
          <w:iCs w:val="false"/>
          <w:color w:val="0F0C07"/>
          <w:sz w:val="22"/>
          <w:szCs w:val="22"/>
        </w:rPr>
        <w:t xml:space="preserve">Description: The set of entity pairs where Entity A's events consistently precede Entity B's price moves or operational changes by a predictable time delta. These are structurally real relationships — not coincidental co-movement — because one entity sits at the source of a supply chain or information network that feeds the other. They are sub-perceptual: invisible in a single event, only apparent across multiple cycles to an observer tracking both entities continuously over years.</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"AMAT always moves 2–3 weeks after ASML results. Not in any database. You just know it after two cycles. When she left, that pattern left with her."</w:t>
            </w:r>
          </w:p>
          <w:p>
            <w:pPr>
              <w:spacing w:before="0" w:after="0"/>
            </w:pPr>
            <w:r>
              <w:rPr>
                <w:rFonts w:ascii="Arial" w:cs="Arial" w:eastAsia="Arial" w:hAnsi="Arial"/>
                <w:b w:val="false"/>
                <w:bCs w:val="false"/>
                <w:i w:val="false"/>
                <w:iCs w:val="false"/>
                <w:color w:val="6B6355"/>
                <w:sz w:val="18"/>
                <w:szCs w:val="18"/>
              </w:rPr>
              <w:t xml:space="preserve">Senior Semiconductor Analyst — field research</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Loss mechanism: Documenting these relationships publicly would front-run the signal. They are oral tradition exclusively. Departure = complete and immediate loss. The institution re-learns this at cost in the next cycle.</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Lead-lag edge metadata. The WAN detects consistent temporal precedence between entity pairs across N historical events. Edges with statistically significant lead-lag patterns are encoded with edge type "leading_indicator" and metadata fields: [lead_entity, lag_entity, avg_delta_days, sigma_days, n_observations, confidence_score, last_validated_date, edge_basis (supply_chain / information_network / shared_input)]. Query interface: "Show all entities that historically lead [TSMC] by 5–15 days with n≥3 observations."</w:t>
      </w:r>
    </w:p>
    <w:p>
      <w:pPr>
        <w:spacing w:before="8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A3A6E"/>
          <w:sz w:val="22"/>
          <w:szCs w:val="22"/>
        </w:rPr>
        <w:t xml:space="preserve">F-TK-02: Executive Guidance Calibration</w:t>
      </w:r>
    </w:p>
    <w:p>
      <w:pPr>
        <w:spacing w:before="80" w:after="100" w:line="308"/>
      </w:pPr>
      <w:r>
        <w:rPr>
          <w:rFonts w:ascii="Arial" w:cs="Arial" w:eastAsia="Arial" w:hAnsi="Arial"/>
          <w:b w:val="false"/>
          <w:bCs w:val="false"/>
          <w:i w:val="false"/>
          <w:iCs w:val="false"/>
          <w:color w:val="0F0C07"/>
          <w:sz w:val="22"/>
          <w:szCs w:val="22"/>
        </w:rPr>
        <w:t xml:space="preserve">Description: Company-specific, executive-specific, quarter-specific calibration adjustments for earnings guidance. Includes: systematic over/under-statement biases by metric type; quarter-specific patterns; stress-tell signals (this CFO gets more cautious language when they're actually nervous); and analyst relationship dynamics (company always guides more conservatively when specific buy-side analysts are on the call).</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"This CFO guides down 8–12% from what they actually expect in Q3. Every year, for 8 years. Never in any note. Just what everyone on the desk knows. New analysts always get burned the first cycle."</w:t>
            </w:r>
          </w:p>
          <w:p>
            <w:pPr>
              <w:spacing w:before="0" w:after="0"/>
            </w:pPr>
            <w:r>
              <w:rPr>
                <w:rFonts w:ascii="Arial" w:cs="Arial" w:eastAsia="Arial" w:hAnsi="Arial"/>
                <w:b w:val="false"/>
                <w:bCs w:val="false"/>
                <w:i w:val="false"/>
                <w:iCs w:val="false"/>
                <w:color w:val="6B6355"/>
                <w:sz w:val="18"/>
                <w:szCs w:val="18"/>
              </w:rPr>
              <w:t xml:space="preserve">Buy-Side Portfolio Manager — field research</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Loss mechanism: Calibration knowledge is the most sensitive tribal type because systematic documentation creates perception of MNPI risk. Oral tradition only. Complete loss on departure.</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Per-executive guidance bias model on the executive entity node. Metadata: [guidance_metric, quarter, stated_figure_type, actual_outcome_type, mean_delta_pct, sigma_pct, n_observations, bias_direction, last_validated]. Alert display: "CEO X — Q3 revenue guidance: historical bias +8.4% under-guidance (n=8, 2016–2024, σ=1.9%). Adjust consensus to $4.71B from stated $4.35B."</w:t>
      </w:r>
    </w:p>
    <w:p>
      <w:pPr>
        <w:spacing w:before="8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A3A6E"/>
          <w:sz w:val="22"/>
          <w:szCs w:val="22"/>
        </w:rPr>
        <w:t xml:space="preserve">F-TK-03: Canary Company Identification</w:t>
      </w:r>
    </w:p>
    <w:p>
      <w:pPr>
        <w:spacing w:before="80" w:after="100" w:line="308"/>
      </w:pPr>
      <w:r>
        <w:rPr>
          <w:rFonts w:ascii="Arial" w:cs="Arial" w:eastAsia="Arial" w:hAnsi="Arial"/>
          <w:b w:val="false"/>
          <w:bCs w:val="false"/>
          <w:i w:val="false"/>
          <w:iCs w:val="false"/>
          <w:color w:val="0F0C07"/>
          <w:sz w:val="22"/>
          <w:szCs w:val="22"/>
        </w:rPr>
        <w:t xml:space="preserve">Description: Small, under-covered companies whose operational changes — order intake shifts, lead time extensions, capacity announcements — consistently lead sector-wide moves by a predictable time window. Structurally real because they sit at the source of a shared supply chain that feeds multiple large companies, or because they process raw materials that become the bottleneck component upstream.</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"There is a specialty substrate supplier in Taiwan — 8 companies globally make what they make. When their lead times go from 4 to 10 weeks, every automotive OEM's Tier-1 chip supply follows within 6 weeks. Four cycles. Every time."</w:t>
            </w:r>
          </w:p>
          <w:p>
            <w:pPr>
              <w:spacing w:before="0" w:after="0"/>
            </w:pPr>
            <w:r>
              <w:rPr>
                <w:rFonts w:ascii="Arial" w:cs="Arial" w:eastAsia="Arial" w:hAnsi="Arial"/>
                <w:b w:val="false"/>
                <w:bCs w:val="false"/>
                <w:i w:val="false"/>
                <w:iCs w:val="false"/>
                <w:color w:val="6B6355"/>
                <w:sz w:val="18"/>
                <w:szCs w:val="18"/>
              </w:rPr>
              <w:t xml:space="preserve">Senior Procurement Director — field research</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Canary edge type. Edges from canary entities to downstream sectors carry edge type "sector_leading_indicator" with metadata: [canary_entity, scope_sector, avg_lead_days, reliability_score_pct, n_validated_cycles, signal_types]. Alert trigger: when a canary entity's operational signals change materially, all downstream entities receive unprompted upstream alerts.</w:t>
      </w:r>
    </w:p>
    <w:p>
      <w:pPr>
        <w:spacing w:before="8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A3A6E"/>
          <w:sz w:val="22"/>
          <w:szCs w:val="22"/>
        </w:rPr>
        <w:t xml:space="preserve">F-TK-04: Cycle Sequence and Timing Memory</w:t>
      </w:r>
    </w:p>
    <w:p>
      <w:pPr>
        <w:spacing w:before="80" w:after="100" w:line="308"/>
      </w:pPr>
      <w:r>
        <w:rPr>
          <w:rFonts w:ascii="Arial" w:cs="Arial" w:eastAsia="Arial" w:hAnsi="Arial"/>
          <w:b w:val="false"/>
          <w:bCs w:val="false"/>
          <w:i w:val="false"/>
          <w:iCs w:val="false"/>
          <w:color w:val="0F0C07"/>
          <w:sz w:val="22"/>
          <w:szCs w:val="22"/>
        </w:rPr>
        <w:t xml:space="preserve">Description: The precise sequence in which companies within a sector move during upcycles and downcycles — which announces first, how the market initially misreads the announcement, which second-order companies reprice with what typical delay, how long the cycle lasts, and at which point consensus forms and the easy alpha closes. Requires having witnessed 3–5 complete cycles personally — typically 10–15 years of sector-specific experience.</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Temporal graph state replay with named cycle events. Historical cycle events stored as labelled graph snapshots: "Q2 2023 Semiconductor Upcycle," "2020 COVID Automotive Shock." Query: "Compare current state to Q2 2023 at T+6 weeks." System returns: which entities had moved, which edges had activated, what impact scores had generated, and what the subsequent 6 weeks looked like. New analysts access institutional cycle memory from day one.</w:t>
      </w:r>
    </w:p>
    <w:p>
      <w:pPr>
        <w:spacing w:before="100" w:after="0" w:line="240"/>
      </w:pPr>
      <w:r>
        <w:t xml:space="preserve"/>
      </w:r>
    </w:p>
    <w:p>
      <w:pPr>
        <w:spacing w:before="160" w:after="0" w:line="240"/>
      </w:pPr>
      <w:r>
        <w:t xml:space="preserve"/>
      </w:r>
    </w:p>
    <w:p>
      <w:pPr>
        <w:pBdr>
          <w:bottom w:val="single" w:color="1E5C38" w:sz="4" w:space="2"/>
        </w:pBdr>
        <w:spacing w:before="0" w:after="80"/>
      </w:pPr>
      <w:r>
        <w:rPr>
          <w:rFonts w:ascii="Arial" w:cs="Arial" w:eastAsia="Arial" w:hAnsi="Arial"/>
          <w:b/>
          <w:bCs/>
          <w:i w:val="false"/>
          <w:iCs w:val="false"/>
          <w:color w:val="1E5C38"/>
          <w:sz w:val="26"/>
          <w:szCs w:val="26"/>
        </w:rPr>
        <w:t xml:space="preserve">6.2  Supply Chain — Four Tribal Knowledge Types</w:t>
      </w:r>
    </w:p>
    <w:p>
      <w:pPr>
        <w:spacing w:before="6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E5C38"/>
          <w:sz w:val="22"/>
          <w:szCs w:val="22"/>
        </w:rPr>
        <w:t xml:space="preserve">S-TK-01: Hidden Single-Source Dependencies</w:t>
      </w:r>
    </w:p>
    <w:p>
      <w:pPr>
        <w:spacing w:before="80" w:after="100" w:line="308"/>
      </w:pPr>
      <w:r>
        <w:rPr>
          <w:rFonts w:ascii="Arial" w:cs="Arial" w:eastAsia="Arial" w:hAnsi="Arial"/>
          <w:b w:val="false"/>
          <w:bCs w:val="false"/>
          <w:i w:val="false"/>
          <w:iCs w:val="false"/>
          <w:color w:val="0F0C07"/>
          <w:sz w:val="22"/>
          <w:szCs w:val="22"/>
        </w:rPr>
        <w:t xml:space="preserve">Description: Components that appear to have qualified alternates in the sourcing system but are in practice single-sourced because none of the listed alternates meets the required specification. Built from failed qualification attempts, quality incidents, and operational experience over years. Never updated back into the ERP or SCRM system after the failed qualification.</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"We have three listed alternates for that gasket material. But anyone who has been here 5 years knows none of them qualify for the chemical resistance spec. The system says we have alternates. We do not."</w:t>
            </w:r>
          </w:p>
          <w:p>
            <w:pPr>
              <w:spacing w:before="0" w:after="0"/>
            </w:pPr>
            <w:r>
              <w:rPr>
                <w:rFonts w:ascii="Arial" w:cs="Arial" w:eastAsia="Arial" w:hAnsi="Arial"/>
                <w:b w:val="false"/>
                <w:bCs w:val="false"/>
                <w:i w:val="false"/>
                <w:iCs w:val="false"/>
                <w:color w:val="6B6355"/>
                <w:sz w:val="18"/>
                <w:szCs w:val="18"/>
              </w:rPr>
              <w:t xml:space="preserve">Senior Procurement Manager — field research</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Qualification-aware alternate edge types. Edges between components and potential alternates carry a qualification_status metadata field: [qualified / unqualified / pending_qualification / disqualified / expired_qualification]. Graph traversal uses qualification status when computing single-source concentration risk. Unqualified alternates are distinguished from certified alternates in all impact calculations — not treated as redundancy.</w:t>
      </w:r>
    </w:p>
    <w:p>
      <w:pPr>
        <w:spacing w:before="8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E5C38"/>
          <w:sz w:val="22"/>
          <w:szCs w:val="22"/>
        </w:rPr>
        <w:t xml:space="preserve">S-TK-02: Supplier Recovery Calibration</w:t>
      </w:r>
    </w:p>
    <w:p>
      <w:pPr>
        <w:spacing w:before="80" w:after="100" w:line="308"/>
      </w:pPr>
      <w:r>
        <w:rPr>
          <w:rFonts w:ascii="Arial" w:cs="Arial" w:eastAsia="Arial" w:hAnsi="Arial"/>
          <w:b w:val="false"/>
          <w:bCs w:val="false"/>
          <w:i w:val="false"/>
          <w:iCs w:val="false"/>
          <w:color w:val="0F0C07"/>
          <w:sz w:val="22"/>
          <w:szCs w:val="22"/>
        </w:rPr>
        <w:t xml:space="preserve">Description: Company-specific calibration for how suppliers communicate during disruptions: systematic over/under-statement of recovery timelines; tendency to hide severity to protect the commercial relationship; historical actual vs. stated recovery performance per disruption category. This calibration is never in the supplier scorecard system — it lives in the account manager's personal judgment.</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"When that supplier says "4-week recovery," we plan for 8. Every time, for 12 years. New account managers always get burned the first time."</w:t>
            </w:r>
          </w:p>
          <w:p>
            <w:pPr>
              <w:spacing w:before="0" w:after="0"/>
            </w:pPr>
            <w:r>
              <w:rPr>
                <w:rFonts w:ascii="Arial" w:cs="Arial" w:eastAsia="Arial" w:hAnsi="Arial"/>
                <w:b w:val="false"/>
                <w:bCs w:val="false"/>
                <w:i w:val="false"/>
                <w:iCs w:val="false"/>
                <w:color w:val="6B6355"/>
                <w:sz w:val="18"/>
                <w:szCs w:val="18"/>
              </w:rPr>
              <w:t xml:space="preserve">Senior Procurement Lead — field research</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Per-supplier recovery bias model on the supplier entity node. Metadata: [disruption_category, stated_recovery_days, actual_recovery_days, delta_days, sigma_days, n_events, bias_direction]. Alert display: "Supplier X recovery claim: 28 days. Historical adjustment: +9.4 days over-promise bias (n=6 events, σ=3.1). Adjusted estimate: 37 days (±3 days)."</w:t>
      </w:r>
    </w:p>
    <w:p>
      <w:pPr>
        <w:spacing w:before="8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E5C38"/>
          <w:sz w:val="22"/>
          <w:szCs w:val="22"/>
        </w:rPr>
        <w:t xml:space="preserve">S-TK-03: Canary Suppliers — Operational Leading Indicators</w:t>
      </w:r>
    </w:p>
    <w:p>
      <w:pPr>
        <w:spacing w:before="80" w:after="100" w:line="308"/>
      </w:pPr>
      <w:r>
        <w:rPr>
          <w:rFonts w:ascii="Arial" w:cs="Arial" w:eastAsia="Arial" w:hAnsi="Arial"/>
          <w:b w:val="false"/>
          <w:bCs w:val="false"/>
          <w:i w:val="false"/>
          <w:iCs w:val="false"/>
          <w:color w:val="0F0C07"/>
          <w:sz w:val="22"/>
          <w:szCs w:val="22"/>
        </w:rPr>
        <w:t xml:space="preserve">Description: Sub-tier suppliers whose operational signals — lead time changes, order book shifts, capacity announcements — consistently precede broader sector supply chain disruptions by a predictable window. Structurally real because they are single-source, specialist components at the beginning of a shared supply chain feeding large-scale production downstream.</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Operational canary edge type. Edges from canary suppliers carry edge type "operational_leading_indicator" with metadata: [canary_entity, downstream_sector, avg_lead_weeks, reliability_score, n_validated_cycles, signal_type (lead_time_shift / order_intake_change / capacity_announcement)]. Monitoring: canary entity operational signals trigger sector-wide early warning alerts with lead time estimate displayed.</w:t>
      </w:r>
    </w:p>
    <w:p>
      <w:pPr>
        <w:spacing w:before="80" w:after="0" w:line="240"/>
      </w:pPr>
      <w:r>
        <w:t xml:space="preserve"/>
      </w:r>
    </w:p>
    <w:p>
      <w:pPr>
        <w:spacing w:before="100" w:after="0" w:line="240"/>
      </w:pPr>
      <w:r>
        <w:t xml:space="preserve"/>
      </w:r>
    </w:p>
    <w:p>
      <w:pPr>
        <w:spacing w:before="0" w:after="60"/>
      </w:pPr>
      <w:r>
        <w:rPr>
          <w:rFonts w:ascii="Arial" w:cs="Arial" w:eastAsia="Arial" w:hAnsi="Arial"/>
          <w:b/>
          <w:bCs/>
          <w:i w:val="false"/>
          <w:iCs w:val="false"/>
          <w:color w:val="1E5C38"/>
          <w:sz w:val="22"/>
          <w:szCs w:val="22"/>
        </w:rPr>
        <w:t xml:space="preserve">S-TK-04: Historical Disruption Pattern Library</w:t>
      </w:r>
    </w:p>
    <w:p>
      <w:pPr>
        <w:spacing w:before="80" w:after="100" w:line="308"/>
      </w:pPr>
      <w:r>
        <w:rPr>
          <w:rFonts w:ascii="Arial" w:cs="Arial" w:eastAsia="Arial" w:hAnsi="Arial"/>
          <w:b w:val="false"/>
          <w:bCs w:val="false"/>
          <w:i w:val="false"/>
          <w:iCs w:val="false"/>
          <w:color w:val="0F0C07"/>
          <w:sz w:val="22"/>
          <w:szCs w:val="22"/>
        </w:rPr>
        <w:t xml:space="preserve">Description: The institutional memory of past disruption events — which suppliers failed first, which alternatives activated in what sequence, how long recovery took at each tier, what the cascade looked like across the network, and which mitigation actions at each decision point produced the best outcomes. Experienced leaders who recognise a current event as matching a historical pattern respond 2–4 weeks faster than analysts approaching it fresh.</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AF8F3" w:val="clear"/>
            <w:tcMar>
              <w:top w:type="dxa" w:w="120"/>
              <w:left w:type="dxa" w:w="240"/>
              <w:bottom w:type="dxa" w:w="120"/>
              <w:right w:type="dxa" w:w="200"/>
            </w:tcMar>
          </w:tcPr>
          <w:p>
            <w:pPr>
              <w:spacing w:before="0" w:after="80" w:line="310"/>
            </w:pPr>
            <w:r>
              <w:rPr>
                <w:rFonts w:ascii="Arial" w:cs="Arial" w:eastAsia="Arial" w:hAnsi="Arial"/>
                <w:b w:val="false"/>
                <w:bCs w:val="false"/>
                <w:i/>
                <w:iCs/>
                <w:color w:val="0F0C07"/>
                <w:sz w:val="22"/>
                <w:szCs w:val="22"/>
              </w:rPr>
              <w:t xml:space="preserve">"This is almost identical to the Japan earthquake in 2011. Same substrate issue, same supplier concentration. In 2011: 14-week recovery, sequence was X then Y then Z. Let me call Y now before they get overwhelmed."</w:t>
            </w:r>
          </w:p>
          <w:p>
            <w:pPr>
              <w:spacing w:before="0" w:after="0"/>
            </w:pPr>
            <w:r>
              <w:rPr>
                <w:rFonts w:ascii="Arial" w:cs="Arial" w:eastAsia="Arial" w:hAnsi="Arial"/>
                <w:b w:val="false"/>
                <w:bCs w:val="false"/>
                <w:i w:val="false"/>
                <w:iCs w:val="false"/>
                <w:color w:val="6B6355"/>
                <w:sz w:val="18"/>
                <w:szCs w:val="18"/>
              </w:rPr>
              <w:t xml:space="preserve">Senior Supply Chain Director — field research</w:t>
            </w:r>
          </w:p>
        </w:tc>
      </w:tr>
    </w:tbl>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encoding: Named disruption event snapshots in the temporal graph state. Historical disruptions stored as labelled states: "Japan Earthquake March 2011 — Automotive Semiconductor," "Red Sea Crisis January 2024," "Renesas Factory Fire March 2021." Query: "Find historical events with similar graph topology to current disruption." Output: top-3 pattern matches with similarity score, recovery sequence, timeline data, and which mitigation actions were taken at each stage.</w:t>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07</w:t>
      </w:r>
    </w:p>
    <w:p>
      <w:pPr>
        <w:shd w:fill="1A3A6E" w:val="clear"/>
        <w:spacing w:before="0" w:after="0"/>
        <w:ind w:left="200" w:right="200"/>
      </w:pPr>
      <w:r>
        <w:rPr>
          <w:rFonts w:ascii="Arial" w:cs="Arial" w:eastAsia="Arial" w:hAnsi="Arial"/>
          <w:b/>
          <w:bCs/>
          <w:i w:val="false"/>
          <w:iCs w:val="false"/>
          <w:color w:val="FFFFFF"/>
          <w:sz w:val="34"/>
          <w:szCs w:val="34"/>
        </w:rPr>
        <w:t xml:space="preserve">WHY EVERY EXISTING TOOL FAILS TO SOLVE THE PROBLEM</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This section documents precisely why each category of existing tool leaves the problem open. Design teams must understand these gaps not as weaknesses to exploit competitively, but as structural constraints on what existing architectures can achieve — clarifying exactly where MKG must build something that does not exist, versus improving on something that does.</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7.1  Bloomberg Terminal / LSEG Workspace — Financial Data Terminals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What they provide: Real-time prices, bond yields, FX rates, news wire, IB messaging, execution, fixed income depth, fundamental screening across all asset classes.</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they fail at the problem: Bloomberg and LSEG are entity-centric data platforms. They answer "what is happening to this company?" with exceptional speed and breadth. They cannot answer "what happens to every other company because of what just happened to this one?" There is no graph data model in Bloomberg's architecture. There are no entity-to-entity weighted edges. There is no traversal engine. "Related companies" features use industry sector clustering — not dynamic weighted relationship graphs. Bloomberg costs approximately $31,980 per seat per year and tells you everything about TSMC's earnings announcement. It tells you nothing automatically about the 800+ companies in TSMC's downstream relationship network.</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6E" w:sz="20"/>
              <w:bottom w:val="none" w:color="FFFFFF" w:sz="0"/>
              <w:right w:val="none" w:color="FFFFFF" w:sz="0"/>
            </w:tcBorders>
            <w:shd w:fill="E6EDF8" w:val="clear"/>
            <w:tcMar>
              <w:top w:type="dxa" w:w="140"/>
              <w:left w:type="dxa" w:w="220"/>
              <w:bottom w:type="dxa" w:w="140"/>
              <w:right w:type="dxa" w:w="180"/>
            </w:tcMar>
          </w:tcPr>
          <w:p>
            <w:pPr>
              <w:spacing w:before="0" w:after="60"/>
            </w:pPr>
            <w:r>
              <w:rPr>
                <w:rFonts w:ascii="Arial" w:cs="Arial" w:eastAsia="Arial" w:hAnsi="Arial"/>
                <w:b/>
                <w:bCs/>
                <w:i w:val="false"/>
                <w:iCs w:val="false"/>
                <w:color w:val="1A3A6E"/>
                <w:sz w:val="18"/>
                <w:szCs w:val="18"/>
              </w:rPr>
              <w:t xml:space="preserve">THE GAP</w:t>
            </w:r>
          </w:p>
          <w:p>
            <w:pPr>
              <w:spacing w:before="0" w:after="0" w:line="308"/>
            </w:pPr>
            <w:r>
              <w:rPr>
                <w:rFonts w:ascii="Arial" w:cs="Arial" w:eastAsia="Arial" w:hAnsi="Arial"/>
                <w:b w:val="false"/>
                <w:bCs w:val="false"/>
                <w:i w:val="false"/>
                <w:iCs w:val="false"/>
                <w:color w:val="0F0C07"/>
                <w:sz w:val="21"/>
                <w:szCs w:val="21"/>
              </w:rPr>
              <w:t xml:space="preserve">Bloomberg is the best possible product for Speed 1 and Speed 2 information processing. It provides zero capability for Speed 3 propagation intelligence. MKG does not compete with Bloomberg — it answers the question Bloomberg cannot.</w:t>
            </w:r>
          </w:p>
        </w:tc>
      </w:tr>
    </w:tbl>
    <w:p>
      <w:pPr>
        <w:spacing w:before="6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7.2  AlphaSense / Tegus — AI Document Intelligence</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What they provide: 500M+ document corpus; generative search with citations; expert call transcript library acquired for $930M; AI-powered document summarisation; multi-step research agents; $500M ARR (Oct 2025); $4B valuation.</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they fail at the problem: AlphaSense is document-centric. It finds documents about entities. It does not model relationships between entities as dynamic weighted edges. When TSMC reports earnings, AlphaSense can help you search for every document mentioning TSMC and NVIDIA. It cannot automatically traverse from TSMC through all supply chain, customer, board, and regulatory edges, score every downstream entity, and deliver a ranked impact list in 60 seconds without human initiation. All second-order analysis in AlphaSense is performed by the analyst — the graph traversal happens in their head, not in the system.</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Strategic note: AlphaSense is the highest competitive threat. Their 500M+ document corpus is exactly the input MKG's WAN needs, and they have $1.4B in capital with relationships at 75%+ of top hedge funds. If AlphaSense builds a graph intelligence layer on top of their document corpus, they can distribute it to existing clients with minimal sales friction. MKG must establish market position before AlphaSense makes this architectural move. The estimated window is 18–36 months based on current roadmap signals.</w:t>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7.3  RavenPack — Financial News Analytics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What they provide: 40,000+ sources in 13 languages; 80+ structured fields per event; 22 years of historical signal data; entity sentiment scores; 70%+ of best-performing quant funds as clients; $20M raised (2024); Bigdata.com AI platform launched.</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they fail at the problem: RavenPack scores entities, not edges. A RavenPack entity sentiment score for TSMC tells you how news is affecting TSMC's sentiment profile. It does not tell you how that news should update the weight of the supply chain edge from TSMC to NVIDIA, or what impact score should be generated for every node connected to TSMC through the relationship graph. The graph layer — edge model, WAN, traversal engine — is entirely absent from RavenPack's architecture.</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Architectural note: RavenPack is the best existing source for the raw signals MKG's WAN needs. The most capital-efficient path to MKG's news signal layer may be an API integration with RavenPack's 40,000-source feed (which already processes 13 languages) rather than building a competing scraper from scratch. This is Open Design Question OD-03.</w:t>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7.4  FactSet Revere / S&amp;P Capital IQ — Static Relationship Databases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What they provide: FactSet Revere — 40,000+ supply chain relationships sourced from SEC 10-K customer concentration disclosures. Capital IQ — executive and board network maps from disclosure databases and proxy filings.</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they fail at the problem: These are the architecturally closest existing products to MKG's relationship layer — but they are filing-sourced, quarterly-updated, static snapshots. They reflect what companies disclosed in their last annual report, not current economic reality. FactSet Revere shows TSMC supplies NVIDIA. It does not compute what happens to NVIDIA if TSMC's capacity is disrupted, traverse NVIDIA's downstream customer graph, and score every entity in that network. The relationship is in the database; the intelligence is not.</w:t>
      </w:r>
    </w:p>
    <w:p>
      <w:pPr>
        <w:spacing w:before="40" w:after="0" w:line="240"/>
      </w:pPr>
      <w:r>
        <w:t xml:space="preserve"/>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A6A10" w:sz="20"/>
              <w:bottom w:val="none" w:color="FFFFFF" w:sz="0"/>
              <w:right w:val="none" w:color="FFFFFF" w:sz="0"/>
            </w:tcBorders>
            <w:shd w:fill="F5F0E4" w:val="clear"/>
            <w:tcMar>
              <w:top w:type="dxa" w:w="140"/>
              <w:left w:type="dxa" w:w="220"/>
              <w:bottom w:type="dxa" w:w="140"/>
              <w:right w:type="dxa" w:w="180"/>
            </w:tcMar>
          </w:tcPr>
          <w:p>
            <w:pPr>
              <w:spacing w:before="0" w:after="60"/>
            </w:pPr>
            <w:r>
              <w:rPr>
                <w:rFonts w:ascii="Arial" w:cs="Arial" w:eastAsia="Arial" w:hAnsi="Arial"/>
                <w:b/>
                <w:bCs/>
                <w:i w:val="false"/>
                <w:iCs w:val="false"/>
                <w:color w:val="8A6A10"/>
                <w:sz w:val="18"/>
                <w:szCs w:val="18"/>
              </w:rPr>
              <w:t xml:space="preserve">STRATEGIC POSITIONING NOTE</w:t>
            </w:r>
          </w:p>
          <w:p>
            <w:pPr>
              <w:spacing w:before="0" w:after="0" w:line="308"/>
            </w:pPr>
            <w:r>
              <w:rPr>
                <w:rFonts w:ascii="Arial" w:cs="Arial" w:eastAsia="Arial" w:hAnsi="Arial"/>
                <w:b w:val="false"/>
                <w:bCs w:val="false"/>
                <w:i w:val="false"/>
                <w:iCs w:val="false"/>
                <w:color w:val="0F0C07"/>
                <w:sz w:val="21"/>
                <w:szCs w:val="21"/>
              </w:rPr>
              <w:t xml:space="preserve">FactSet Revere is MKG's closest commercial predecessor. MKG is "FactSet Revere with a WAN, a traversal engine, real-time multilingual monitoring, tribal knowledge encoding, and temporal graph state." Revere users already understand supply chain relationship data and pay for it — they are the highest-intent conversion targets in the financial vertical.</w:t>
            </w:r>
          </w:p>
        </w:tc>
      </w:tr>
    </w:tbl>
    <w:p>
      <w:pPr>
        <w:spacing w:before="6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7.5  Interos / Resilinc / SAP Ariba — Supply Chain Risk Management Tools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What they provide: SAP Ariba / Coupa — Tier-1 supplier databases integrated with procurement workflows. Resilinc — multi-tier supply chain mapping and event monitoring with AI risk alerts. Interos — AI-driven multi-tier supplier risk scoring across 6 risk categories, valued at $1B+.</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they fail at the problem: SCRM tools are operations-centric. They output risk scores and compliance reports — not propagation intelligence with financial impact quantification. Interos comes closest architecturally — it has a multi-tier supplier graph with AI risk scoring — but: its scope is Tier 1–2 only (not Tier 3+); its output is operational risk alerts, not impact scores with direction and confidence; it has no WAN, no temporal graph state, no historical pattern replay, no multilingual signal scraping at 13 languages, and no financial vertical capability. It validates the market at $1B+ but does not solve the problem.</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Interos is the most important existence proof for MKG: it demonstrates that supply chain graph intelligence is real, saleable, and valued at institutional scale. The gap Interos leaves — Tier 3+, real-time WAN, temporal state, financial vertical, tribal knowledge encoding — is MKG's addressable market within the supply chain vertical.</w:t>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7.6  Palantir Foundry / Ontology — General Graph Intelligence Platform</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What they provide: General-purpose data operating system with ontology layer; graph visualisation and query; custom analytics pipelines; government and large enterprise deployments; $27B market cap.</w:t>
      </w:r>
    </w:p>
    <w:p>
      <w:pPr>
        <w:spacing w:before="4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Why they fail at the problem: Palantir is a platform, not a product. It provides infrastructure for building graph intelligence applications — but requires 12–18 month implementations, $5M+ annual contract values, and a dedicated team of engineers and data scientists to build the specific application. No Palantir customer has built the MKG use case on Foundry as a standard deliverable. For the problem MKG addresses, Palantir is a hammer requiring the customer to build their own house. MKG delivers the house purpose-built and pre-furnished.</w:t>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08</w:t>
      </w:r>
    </w:p>
    <w:p>
      <w:pPr>
        <w:shd w:fill="1A3A6E" w:val="clear"/>
        <w:spacing w:before="0" w:after="0"/>
        <w:ind w:left="200" w:right="200"/>
      </w:pPr>
      <w:r>
        <w:rPr>
          <w:rFonts w:ascii="Arial" w:cs="Arial" w:eastAsia="Arial" w:hAnsi="Arial"/>
          <w:b/>
          <w:bCs/>
          <w:i w:val="false"/>
          <w:iCs w:val="false"/>
          <w:color w:val="FFFFFF"/>
          <w:sz w:val="34"/>
          <w:szCs w:val="34"/>
        </w:rPr>
        <w:t xml:space="preserve">DESIGN IMPLICATIONS — WHAT THE PROBLEM DEMANDS OF THE SOLUTION</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This section translates the problem statements, root causes, and layer analysis into non-negotiable design constraints. Every design decision made for MKG must satisfy all constraints applicable to the component being designed. Any design element that conflicts with a constraint requires a formal exception with documented justification and explicit sign-off.</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8.1  Architecture Constraints — Non-Negotiable</w:t>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A6FA0" w:sz="1"/>
              <w:left w:val="single" w:color="4A6FA0" w:sz="1"/>
              <w:bottom w:val="single" w:color="4A6FA0" w:sz="1"/>
              <w:right w:val="single" w:color="4A6FA0" w:sz="1"/>
            </w:tcBorders>
            <w:shd w:fill="1A3A6E"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Constraint</w:t>
            </w:r>
          </w:p>
        </w:tc>
        <w:tc>
          <w:tcPr>
            <w:tcW w:type="dxa" w:w="6760"/>
            <w:tcBorders>
              <w:top w:val="single" w:color="4A6FA0" w:sz="1"/>
              <w:left w:val="single" w:color="4A6FA0" w:sz="1"/>
              <w:bottom w:val="single" w:color="4A6FA0" w:sz="1"/>
              <w:right w:val="single" w:color="4A6FA0" w:sz="1"/>
            </w:tcBorders>
            <w:shd w:fill="1A3A6E"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Rationale (Problem Statement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Graph-first data model — not relational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RC5, Layer 2: The problem is network-centric. Relational databases cannot represent dynamic weighted edges, multi-hop traversal, temporal graph states, or typed directed relationships at the required scale and speed.</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Weight Adjustment Network (WAN) mandatory</w:t>
            </w:r>
          </w:p>
        </w:tc>
        <w:tc>
          <w:tcPr>
            <w:tcW w:type="dxa" w:w="67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RC1, Layer 3: Static relationships are the core architectural failure of all existing tools. The WAN is the differentiating mechanism that makes MKG's graph dynamic. Without it, MKG is FactSet Revere.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60-second traversal-to-output SLA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RC2, Layer 4: The alpha window and pre-disruption mitigation window both close if traversal takes hours. 60 seconds is the maximum latency compatible with either use case.</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13-language scraping — no exceptions</w:t>
            </w:r>
          </w:p>
        </w:tc>
        <w:tc>
          <w:tcPr>
            <w:tcW w:type="dxa" w:w="67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RC3, PS-SC-002: Language-gated signals cost 5–15 days of warning time. English-only monitoring is structurally insufficient. Chinese, Japanese, Korean, German are non-negotiable minimums.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Full temporal graph state versioning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RC4, Layer 4, PS-FIN-003, PS-SC-003: Tribal knowledge encoding requires historical graph states. Backtesting requires point-in-time snapshots. Regulatory compliance requires historical audit trails. All three require complete temporal versioning from day one.</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On-premise deployment option from v1</w:t>
            </w:r>
          </w:p>
        </w:tc>
        <w:tc>
          <w:tcPr>
            <w:tcW w:type="dxa" w:w="67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PS-FIN-001, PS-SC-001: Regulated institutions (SWFs, government agencies, air-gapped trading desks) cannot process sensitive intelligence on third-party cloud infrastructure. Closing this segment requires on-prem from 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Full causal chain for every 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Layer 5: MiFID II, EU CSDD, and investment committee requirements mandate AI-generated signals carry traceable causal chains. An impact score without a causal chain cannot be acted upon institutionally.</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Typed, directed, weighted edges</w:t>
            </w:r>
          </w:p>
        </w:tc>
        <w:tc>
          <w:tcPr>
            <w:tcW w:type="dxa" w:w="67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Layer 2: Supply chain edges transmit shocks differently than board interlock edges. Both must be modelled with distinct edge types, weights, and traversal decay functions. Undifferentiated edges produce wrong impact scores.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Cross-vertical unified graph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PS-FIN-001, PS-SC-001: A supply chain disruption produces both an operational alert (supply chain vertical) and an investment signal (financial vertical). Both must emerge from a single traversal computation on a single shared graph.</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All 8 tribal knowledge types encoded</w:t>
            </w:r>
          </w:p>
        </w:tc>
        <w:tc>
          <w:tcPr>
            <w:tcW w:type="dxa" w:w="67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RC4, Section 6: Tribal knowledge is MKG's most defensible competitive moat. It accumulates with use and cannot be replicated by a competitor who builds a better graph without the accumulated institutional intelligence.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Automatic traversal — no human initiation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RC2, Layer 4: Alpha windows and pre-disruption windows close if the PM or CPO must manually initiate analysis. The system must trigger automatically on any qualifying signal without human prompt.</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Explainability as baseline — not feature</w:t>
            </w:r>
          </w:p>
        </w:tc>
        <w:tc>
          <w:tcPr>
            <w:tcW w:type="dxa" w:w="67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Layer 5: Institutional adoption in regulated environments requires explainability before signing. Products that cannot explain their outputs are not purchased by institutional buyers, regardless of signal quality.</w:t>
            </w:r>
          </w:p>
        </w:tc>
      </w:tr>
    </w:tbl>
    <w:p>
      <w:pPr>
        <w:spacing w:before="10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8.2  User Experience Constraints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 network-centric paradigm must be reflected in the UX. These are non-negotiable UX principles derived from the problem:</w:t>
      </w:r>
    </w:p>
    <w:p>
      <w:pPr>
        <w:spacing w:before="60" w:after="0" w:line="240"/>
      </w:pPr>
      <w:r>
        <w:t xml:space="preserve"/>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Primary interaction: "What propagates from this event?" — not "tell me about this company." The propagation view is the home screen. The entity profile is accessed from within a propagation result.</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Impact scores must always display: direction (positive/negative/neutral indicator), confidence interval, time horizon selector, and a one-click path to the full causal chain. Bare numbers are not compliant with institutional requirements and are not acceptable UI.</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Canary alerts must be proactive — not requiring the user to query. When a canary entity's signals change materially, affected downstream entities receive unprompted alerts. Users should not need to know about canary relationships to benefit from them.</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Historical pattern matching must be accessible from the alert view in one click: "This signal matches 3 historical disruption patterns. View match quality and recovery sequences." Not a buried analytics feature.</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Supply chain output must be operational format: affected production lines ranked, estimated delay per platform, alternate sourcing options with current availability scores. Not a risk report — a decision brief.</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Tribal knowledge encoding must feel like contributing to a graph — not filling in a form. Calibration adjustments, lead-lag patterns, and recovery bias corrections should be surfaceable from data and confirmable by the user, not manually entered from scratch.</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Language of origin must be visible on every alert. If a Chinese regulatory source triggered the traversal 11 days before English coverage appeared, that 11-day advantage must be surfaced prominently in the alert UI.</w:t>
      </w:r>
    </w:p>
    <w:p>
      <w:pPr>
        <w:spacing w:before="10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8.3  What MKG Must NOT Build — Boundary Constraints</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Niche discipline requires knowing what to refuse to build. These constraints are as important as the design requirements above:</w:t>
      </w:r>
    </w:p>
    <w:p>
      <w:pPr>
        <w:spacing w:before="60" w:after="0" w:line="240"/>
      </w:pPr>
      <w:r>
        <w:t xml:space="preserve"/>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 Bloomberg replacement. MKG does not provide real-time prices, fixed income yields, FX rates, IB messaging, or trade execution. It sits on top of Bloomberg, adding what Bloomberg cannot compute.</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 document search engine. MKG reads documents as signal inputs to the WAN. It does not index documents for human search and does not compete with AlphaSense or Tegus.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an ERP or procurement workflow tool. MKG provides intelligence outputs that inform procurement decisions. It does not process purchase orders, manage contracts, or replace SAP Ariba or Coupa.</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 general-purpose knowledge graph database. MKG is not Neo4j, TigerGraph, or graph infrastructure for developers. It is a purpose-built financial and supply chain intelligence application.</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 compliance workflow platform. MKG generates compliance documentation as a by-product of graph traversal. It does not manage compliance calendars, track regulatory workflows, or replace dedicated RegTech tools.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 trading execution or OMS platform. MKG generates signals. Execution is explicitly out of scope and must not appear on the roadmap.</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Not a general AI research assistant. MKG is not a chat interface for financial research. It is a signal system with a specific input (news events) and a specific output (ranked propagation intelligence with causal chains).</w:t>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09</w:t>
      </w:r>
    </w:p>
    <w:p>
      <w:pPr>
        <w:shd w:fill="1A3A6E" w:val="clear"/>
        <w:spacing w:before="0" w:after="0"/>
        <w:ind w:left="200" w:right="200"/>
      </w:pPr>
      <w:r>
        <w:rPr>
          <w:rFonts w:ascii="Arial" w:cs="Arial" w:eastAsia="Arial" w:hAnsi="Arial"/>
          <w:b/>
          <w:bCs/>
          <w:i w:val="false"/>
          <w:iCs w:val="false"/>
          <w:color w:val="FFFFFF"/>
          <w:sz w:val="34"/>
          <w:szCs w:val="34"/>
        </w:rPr>
        <w:t xml:space="preserve">SUCCESS CRITERIA — HOW WE KNOW THE PROBLEM IS SOLVED</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These criteria define what success looks like at each stage of MKG's development. They are derived directly from the problem statements in Section 4. A design that does not satisfy all applicable criteria has not solved the problem — regardless of technical sophistication.</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9.1  Minimum Viable Problem Solution — Financial Vertical</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solves the core financial markets problem when ALL of the following are simultaneously true:</w:t>
      </w:r>
    </w:p>
    <w:p>
      <w:pPr>
        <w:spacing w:before="60" w:after="0" w:line="240"/>
      </w:pPr>
      <w:r>
        <w:t xml:space="preserve"/>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Given any earnings announcement by any publicly traded company, MKG automatically produces a ranked list of affected entities within 60 seconds of the announcement becoming publicly available, without any human initiation.</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Each entity in the ranked list is accompanied by: impact direction (positive/negative/neutral), confidence interval, time horizon selection (intraday/1W/1M/3M), and the complete traversal path from trigger entity to affected entity with edge weights displayed at each hop.</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The traversal covers, in a single pass: Tier-1 supply chain edges, Tier-2 supply chain edges, board interlock edges, major JV edges, and regulatory co-exposure edges. No separate queries required per edge type.</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The graph's edge weights demonstrably reflect recent news signals — not solely static filing data. A material relationship change reported in news within 48 hours is visible in edge weight before the next filing cycle update.</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At least one canary entity lead-lag relationship is encoded per major covered sector, with temporal metadata validated across a minimum of 3 historical cycles.</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All outputs carry a complete causal chain traceable to source documents and timestamps, in a format acceptable as a MiFID II investment decision audit trail — without additional manual documentation.</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At least two independent institutional users confirm that MKG's second-order impact list identified affected entities they had not independently considered, within the same 60-second output window.</w:t>
      </w:r>
    </w:p>
    <w:p>
      <w:pPr>
        <w:spacing w:before="10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9.2  Minimum Viable Problem Solution — Supply Chain Vertical</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solves the core supply chain problem when ALL of the following are simultaneously true:</w:t>
      </w:r>
    </w:p>
    <w:p>
      <w:pPr>
        <w:spacing w:before="60" w:after="0" w:line="240"/>
      </w:pPr>
      <w:r>
        <w:t xml:space="preserve"/>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Given any qualifying supply chain disruption signal in any of 13 supported languages, MKG automatically produces a production impact assessment within 60 seconds of signal detection, without any human initiation.</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The assessment covers Tier 1, Tier 2, and at least one Tier 3 supplier level, with distinct, separately labelled visibility into each tier's affected nodes and estimated impact.</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Each affected production line or product platform is listed with: estimated delay range, single-source concentration risk flag with qualification status of all listed alternates, and pre-computed alternative sourcing options with current availability scores.</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When a Chinese, Japanese, Korean, or other non-English source publishes a relevant supply chain disruption signal, MKG detects it within 10 minutes of publication and initiates graph traversal without waiting for English-language coverage.</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At least one historical disruption pattern match is offered for every new disruption event, drawing from the temporal graph state library with similarity score and recovery sequence displayed.</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EU CSDD-compliant due diligence documentation is automatically generated for every disruption event as a by-product of the traversal computation, requiring no additional data entry.</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At least two independent CPO-level users confirm that MKG's output identified Tier-2 or Tier-3 exposure they had not identified through their existing SCRM tools within the same 60-second window.</w:t>
      </w:r>
    </w:p>
    <w:p>
      <w:pPr>
        <w:spacing w:before="10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9.3  Tribal Knowledge Success Criteria</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 tribal knowledge encoding problem is solved when:</w:t>
      </w:r>
    </w:p>
    <w:p>
      <w:pPr>
        <w:spacing w:before="60" w:after="0" w:line="240"/>
      </w:pPr>
      <w:r>
        <w:t xml:space="preserve"/>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A new analyst or procurement manager with zero sector experience can query MKG and access canary entity relationships, guidance calibration models, lead-lag relationships, and historical pattern matches that previously required 10+ years of direct experience to access — with no degradation in output quality attributable to their inexperience.</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The guidance calibration model for at least 10 actively covered executives demonstrates statistically significant predictive accuracy — mean absolute guidance error reduced by ≥20% versus uncalibrated consensus — validated on held-out historical data.</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Lead-lag relationships are encoded for at least 50 entity pairs per major covered sector, with temporal metadata validated across a minimum of 3 historical cycles and confidence scores displayed.</w:t>
      </w:r>
    </w:p>
    <w:p>
      <w:pPr>
        <w:pStyle w:val="ListParagraph"/>
        <w:numPr>
          <w:ilvl w:val="0"/>
          <w:numId w:val="3"/>
        </w:numPr>
        <w:spacing w:before="80" w:after="80" w:line="296"/>
      </w:pPr>
      <w:r>
        <w:rPr>
          <w:rFonts w:ascii="Arial" w:cs="Arial" w:eastAsia="Arial" w:hAnsi="Arial"/>
          <w:b w:val="false"/>
          <w:bCs w:val="false"/>
          <w:i w:val="false"/>
          <w:iCs w:val="false"/>
          <w:color w:val="0F0C07"/>
          <w:sz w:val="21"/>
          <w:szCs w:val="21"/>
        </w:rPr>
        <w:t xml:space="preserve">When a member of a senior analyst or procurement team departs, the remaining team confirms zero degradation in alert quality, canary coverage, or second-order impact identification that is attributable to the departure.</w:t>
      </w:r>
    </w:p>
    <w:p>
      <w:pPr>
        <w:spacing w:before="10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9.4  The Anti-Success Test — What Failure Looks Like</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has failed to solve the problem if any of the following remain true after deployment:</w:t>
      </w:r>
    </w:p>
    <w:p>
      <w:pPr>
        <w:spacing w:before="60" w:after="0" w:line="240"/>
      </w:pPr>
      <w:r>
        <w:t xml:space="preserve"/>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A PM or CPO must still manually initiate a research process to generate second-order impact analysis from any qualifying trigger event.</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Any output from MKG cannot be traced to a specific news signal, specific edge traversal, and specific source documents within 2 minutes of the output being generated.</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The graph's supply chain edges still reflect only what companies have disclosed in SEC filings — with no updates from news signals between annual filing cycles.</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A Tier-3 supplier event causing a cascade to Tier-1 production is not detected and mapped through the full graph to the focal company within 60 minutes of the triggering news signal becoming available.</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A Chinese-language regulatory publication materially affecting a supply chain is not processed and traversed within 30 minutes of publication.</w:t>
      </w:r>
    </w:p>
    <w:p>
      <w:pPr>
        <w:pStyle w:val="ListParagraph"/>
        <w:numPr>
          <w:ilvl w:val="0"/>
          <w:numId w:val="2"/>
        </w:numPr>
        <w:spacing w:before="60" w:after="60" w:line="290"/>
        <w:ind w:left="720" w:hanging="360"/>
      </w:pPr>
      <w:r>
        <w:rPr>
          <w:rFonts w:ascii="Arial" w:cs="Arial" w:eastAsia="Arial" w:hAnsi="Arial"/>
          <w:b w:val="false"/>
          <w:bCs w:val="false"/>
          <w:i w:val="false"/>
          <w:iCs w:val="false"/>
          <w:color w:val="0F0C07"/>
          <w:sz w:val="21"/>
          <w:szCs w:val="21"/>
        </w:rPr>
        <w:t xml:space="preserve">When a senior analyst or procurement director retires, their institution reports any measurable degradation in alert quality, canary coverage, or second-order identification attributable to the departure.</w:t>
      </w:r>
    </w:p>
    <w:p>
      <w:pPr>
        <w:spacing w:before="0" w:after="0"/>
      </w:pPr>
      <w:r>
        <w:br w:type="page"/>
      </w:r>
    </w:p>
    <w:p>
      <w:pPr>
        <w:spacing w:before="200" w:after="0" w:line="240"/>
      </w:pPr>
      <w:r>
        <w:t xml:space="preserve"/>
      </w:r>
    </w:p>
    <w:p>
      <w:pPr>
        <w:shd w:fill="1A3A6E" w:val="clear"/>
        <w:spacing w:before="0" w:after="60"/>
        <w:ind w:left="200" w:right="200"/>
      </w:pPr>
      <w:r>
        <w:rPr>
          <w:rFonts w:ascii="Arial" w:cs="Arial" w:eastAsia="Arial" w:hAnsi="Arial"/>
          <w:b/>
          <w:bCs/>
          <w:i w:val="false"/>
          <w:iCs w:val="false"/>
          <w:color w:val="A8B8D8"/>
          <w:sz w:val="16"/>
          <w:szCs w:val="16"/>
        </w:rPr>
        <w:t xml:space="preserve">SECTION 10</w:t>
      </w:r>
    </w:p>
    <w:p>
      <w:pPr>
        <w:shd w:fill="1A3A6E" w:val="clear"/>
        <w:spacing w:before="0" w:after="0"/>
        <w:ind w:left="200" w:right="200"/>
      </w:pPr>
      <w:r>
        <w:rPr>
          <w:rFonts w:ascii="Arial" w:cs="Arial" w:eastAsia="Arial" w:hAnsi="Arial"/>
          <w:b/>
          <w:bCs/>
          <w:i w:val="false"/>
          <w:iCs w:val="false"/>
          <w:color w:val="FFFFFF"/>
          <w:sz w:val="34"/>
          <w:szCs w:val="34"/>
        </w:rPr>
        <w:t xml:space="preserve">OPEN DESIGN QUESTIONS &amp; AMENDMENT PROTOCOL</w:t>
      </w:r>
    </w:p>
    <w:p>
      <w:pPr>
        <w:shd w:fill="1A3A6E" w:val="clear"/>
        <w:spacing w:before="120" w:after="0"/>
      </w:pPr>
      <w:r>
        <w:t xml:space="preserve"/>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These are questions the problem statement intentionally leaves open for the design and engineering process to resolve. Each question is stated with a MUST condition derived from the problem (non-negotiable constraint) and a design decision space (options that satisfy the constraint). Choices within the design space must be logged in the Amendment Log when made.</w:t>
      </w:r>
    </w:p>
    <w:p>
      <w:pPr>
        <w:spacing w:before="8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10.1  Open Design Questions</w:t>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A6FA0" w:sz="1"/>
              <w:left w:val="single" w:color="4A6FA0" w:sz="1"/>
              <w:bottom w:val="single" w:color="4A6FA0" w:sz="1"/>
              <w:right w:val="single" w:color="4A6FA0" w:sz="1"/>
            </w:tcBorders>
            <w:shd w:fill="1A3A6E"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Question ID &amp; Statement</w:t>
            </w:r>
          </w:p>
        </w:tc>
        <w:tc>
          <w:tcPr>
            <w:tcW w:type="dxa" w:w="6160"/>
            <w:tcBorders>
              <w:top w:val="single" w:color="4A6FA0" w:sz="1"/>
              <w:left w:val="single" w:color="4A6FA0" w:sz="1"/>
              <w:bottom w:val="single" w:color="4A6FA0" w:sz="1"/>
              <w:right w:val="single" w:color="4A6FA0" w:sz="1"/>
            </w:tcBorders>
            <w:shd w:fill="1A3A6E"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MUST Condition (from Problem) // Design Decision Space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OD-01: Initial Graph Population
How do we seed the entity-relationship graph before the WAN has accumulated enough signal history to function?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Cover major publicly traded companies and known relationships from day 1 of deployment
// Options: A — Automated EDGAR extraction + NLP entity recognition. B — Manual curation of initial entity set. C — Licensed seed layer from FactSet Revere / Capital IQ as starting graph. D — Hybrid: licensed seed + automated enrichment from WAN from day 1</w:t>
            </w:r>
          </w:p>
        </w:tc>
      </w:tr>
      <w:tr>
        <w:tc>
          <w:tcPr>
            <w:tcW w:type="dxa" w:w="32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OD-02: WAN Architecture
What neural architecture powers the Weight Adjustment Network?</w:t>
            </w:r>
          </w:p>
        </w:tc>
        <w:tc>
          <w:tcPr>
            <w:tcW w:type="dxa" w:w="61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Update edge weights within 30 seconds of signal receipt; produce auditable weight change records with full provenance
// Options: A — Fine-tuned LLM (ICKG-style extraction, entity-relation output fed to rule-based weight updater). B — GNN-based (KGTransformer-style, end-to-end temporal graph learning). C — Hybrid: LLM extraction layer feeding GNN weight computation. D — Rule-based with ML confidence scoring (fastest to ship, least expressive)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OD-03: News Signal Sourcing
Build proprietary 13-language scraper vs. license RavenPack data feed?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Process 13 languages in real time; signals available for WAN input within 10 minutes of publication
// Options: A — Build proprietary scraper (full control, no vendor dependency, higher initial engineering cost). B — License RavenPack API (fastest path to market, creates strategic dependency). C — Hybrid: license RavenPack as bootstrap layer; build proprietary scraper for differentiation on 18-month horizon</w:t>
            </w:r>
          </w:p>
        </w:tc>
      </w:tr>
      <w:tr>
        <w:tc>
          <w:tcPr>
            <w:tcW w:type="dxa" w:w="32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OD-04: Traversal Trigger
Fully automated vs. human-confirmed trigger for initial graph traversal?</w:t>
            </w:r>
          </w:p>
        </w:tc>
        <w:tc>
          <w:tcPr>
            <w:tcW w:type="dxa" w:w="61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Traversal completable within 60 seconds; qualifying events must not require human initiation
// Options: A — Fully automated (WAN signal exceeds confidence threshold → traversal auto-triggers). B — Human opt-in with &lt;30-second confirmation window (auto-triggers if no response). C — Fully automated with post-hoc human override to suppress false positives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OD-05: Alert Delivery
How does the 60-second output reach the 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Reach the right user within 60 seconds of traversal completion; must include accessible path to causal chain
// Options: A — In-product dashboard only (v1). B — Webhook / API push to PM workflow tools. C — Native Slack / Teams integration. D — Email digest (not compliant with 60-second SLA for primary alerts). E — All of the above, configurable per user</w:t>
            </w:r>
          </w:p>
        </w:tc>
      </w:tr>
      <w:tr>
        <w:tc>
          <w:tcPr>
            <w:tcW w:type="dxa" w:w="32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OD-06: MNPI Filter
How does MKG ensure outputs do not constitute or enable MNPI violations?</w:t>
            </w:r>
          </w:p>
        </w:tc>
        <w:tc>
          <w:tcPr>
            <w:tcW w:type="dxa" w:w="61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No output may be sourced from non-public documents or constitute actionable MNPI under SEC Rule 10b-5 or international equivalents
// Options: A — Structural public-only filter (only process signals from public sources; validate source provenance on ingestion). B — Rule-based MNPI classifier (flag outputs citing potentially private sources for compliance review). C — Legal opinion on all output categories before deployment in regulated markets. D — Combination of A + C as baseline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OD-07: Deployment Architecture
Full self-hosted vs. private cloud vs. hybrid for on-premise option?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MUST: Deployable in air-gapped institutional infrastructure for regulated users from v1
// Options: A — Full self-hosted (maximum data sovereignty, highest deployment and maintenance cost). B — Customer-managed private cloud VPC (lower cost, cloud dependency remains). C — Hybrid: core computation on-prem, non-sensitive enrichment in cloud. D — Tiered: cloud-hosted for unregulated users, on-prem for regulated users at different pricing</w:t>
            </w:r>
          </w:p>
        </w:tc>
      </w:tr>
    </w:tbl>
    <w:p>
      <w:pPr>
        <w:spacing w:before="120" w:after="0" w:line="240"/>
      </w:pPr>
      <w:r>
        <w:t xml:space="preserve"/>
      </w:r>
    </w:p>
    <w:p>
      <w:pPr>
        <w:spacing w:before="160" w:after="0" w:line="240"/>
      </w:pPr>
      <w:r>
        <w:t xml:space="preserve"/>
      </w:r>
    </w:p>
    <w:p>
      <w:pPr>
        <w:pBdr>
          <w:bottom w:val="single" w:color="1A3A6E" w:sz="4" w:space="2"/>
        </w:pBdr>
        <w:spacing w:before="0" w:after="80"/>
      </w:pPr>
      <w:r>
        <w:rPr>
          <w:rFonts w:ascii="Arial" w:cs="Arial" w:eastAsia="Arial" w:hAnsi="Arial"/>
          <w:b/>
          <w:bCs/>
          <w:i w:val="false"/>
          <w:iCs w:val="false"/>
          <w:color w:val="1A3A6E"/>
          <w:sz w:val="26"/>
          <w:szCs w:val="26"/>
        </w:rPr>
        <w:t xml:space="preserve">10.2  Amendment Protocol</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This document is a living source of truth. It must be updated whenever: (1) a new problem dimension is identified that MKG addresses; (2) an open question is resolved and the decision is made; (3) a constraint is modified by evidence or user research; (4) a problem statement is refined by field validation. All amendments are logged below with version number, date, author, and rationale.</w:t>
      </w:r>
    </w:p>
    <w:p>
      <w:pPr>
        <w:spacing w:before="60" w:after="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6FA0" w:sz="1"/>
              <w:left w:val="single" w:color="4A6FA0" w:sz="1"/>
              <w:bottom w:val="single" w:color="4A6FA0" w:sz="1"/>
              <w:right w:val="single" w:color="4A6FA0" w:sz="1"/>
            </w:tcBorders>
            <w:shd w:fill="1A3A6E"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Amendment Log</w:t>
            </w:r>
          </w:p>
        </w:tc>
        <w:tc>
          <w:tcPr>
            <w:tcW w:type="dxa" w:w="6960"/>
            <w:tcBorders>
              <w:top w:val="single" w:color="4A6FA0" w:sz="1"/>
              <w:left w:val="single" w:color="4A6FA0" w:sz="1"/>
              <w:bottom w:val="single" w:color="4A6FA0" w:sz="1"/>
              <w:right w:val="single" w:color="4A6FA0" w:sz="1"/>
            </w:tcBorders>
            <w:shd w:fill="1A3A6E" w:val="clear"/>
            <w:tcMar>
              <w:top w:type="dxa" w:w="80"/>
              <w:left w:type="dxa" w:w="120"/>
              <w:bottom w:type="dxa" w:w="80"/>
              <w:right w:type="dxa" w:w="120"/>
            </w:tcMar>
          </w:tcPr>
          <w:p>
            <w:pPr>
              <w:spacing w:before="0" w:after="0"/>
            </w:pPr>
            <w:r>
              <w:rPr>
                <w:rFonts w:ascii="Arial" w:cs="Arial" w:eastAsia="Arial" w:hAnsi="Arial"/>
                <w:b/>
                <w:bCs/>
                <w:i w:val="false"/>
                <w:iCs w:val="false"/>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Version 1.0 — February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Initial release. Financial Markets vertical (3 problem statements: PS-FIN-001, 002, 003) and Supply Chain vertical (3 problem statements: PS-SC-001, 002, 003). Five root causes. Five problem layers. Eight tribal knowledge types (4 financial + 4 supply chain). Six tool categories assessed. Eight non-negotiable architecture constraints. Seven open design questions (OD-01 through OD-07). MVPS criteria for both verticals. Anti-success test defined. Author: MKG Team.</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bCs/>
                <w:i w:val="false"/>
                <w:iCs w:val="false"/>
                <w:color w:val="1A3A6E"/>
                <w:sz w:val="20"/>
                <w:szCs w:val="20"/>
              </w:rPr>
              <w:t xml:space="preserve">Version 1.x — [Next Amendment]</w:t>
            </w:r>
          </w:p>
        </w:tc>
        <w:tc>
          <w:tcPr>
            <w:tcW w:type="dxa" w:w="6960"/>
            <w:tcBorders>
              <w:top w:val="single" w:color="CCCCCC" w:sz="1"/>
              <w:left w:val="single" w:color="CCCCCC" w:sz="1"/>
              <w:bottom w:val="single" w:color="CCCCCC" w:sz="1"/>
              <w:right w:val="single" w:color="CCCCCC" w:sz="1"/>
            </w:tcBorders>
            <w:shd w:fill="F2F0EB" w:val="clear"/>
            <w:tcMar>
              <w:top w:type="dxa" w:w="80"/>
              <w:left w:type="dxa" w:w="120"/>
              <w:bottom w:type="dxa" w:w="80"/>
              <w:right w:type="dxa" w:w="120"/>
            </w:tcMar>
          </w:tcPr>
          <w:p>
            <w:pPr>
              <w:spacing w:before="0" w:after="0" w:line="280"/>
            </w:pPr>
            <w:r>
              <w:rPr>
                <w:rFonts w:ascii="Arial" w:cs="Arial" w:eastAsia="Arial" w:hAnsi="Arial"/>
                <w:b w:val="false"/>
                <w:bCs w:val="false"/>
                <w:i w:val="false"/>
                <w:iCs w:val="false"/>
                <w:color w:val="0F0C07"/>
                <w:sz w:val="20"/>
                <w:szCs w:val="20"/>
              </w:rPr>
              <w:t xml:space="preserve">To be completed when the first open design question is resolved or the first field validation session produces evidence that modifies a problem statement.</w:t>
            </w:r>
          </w:p>
        </w:tc>
      </w:tr>
    </w:tbl>
    <w:p>
      <w:pPr>
        <w:spacing w:before="200" w:after="0" w:line="240"/>
      </w:pPr>
      <w:r>
        <w:t xml:space="preserve"/>
      </w:r>
    </w:p>
    <w:p>
      <w:pPr>
        <w:pBdr>
          <w:top w:val="single" w:color="1A3A6E" w:sz="8" w:space="4"/>
          <w:bottom w:val="single" w:color="D0C8B4" w:sz="2" w:space="4"/>
        </w:pBdr>
        <w:spacing w:before="80" w:after="80"/>
      </w:pPr>
      <w:r>
        <w:rPr>
          <w:rFonts w:ascii="Arial" w:cs="Arial" w:eastAsia="Arial" w:hAnsi="Arial"/>
          <w:b/>
          <w:bCs/>
          <w:i w:val="false"/>
          <w:iCs w:val="false"/>
          <w:color w:val="1A3A6E"/>
          <w:sz w:val="28"/>
          <w:szCs w:val="28"/>
        </w:rPr>
        <w:t xml:space="preserve">The disruption does not change. The preparation does.</w:t>
      </w:r>
    </w:p>
    <w:p>
      <w:pPr>
        <w:spacing w:before="8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MKG exists because the most valuable intelligence in financial markets and supply chain operations has always lived in human heads — the relationship maps, the calibrations, the canary signals, the cycle sequences. Those heads retire. The knowledge evaporates. The next disruption, everyone starts over.</w:t>
      </w:r>
    </w:p>
    <w:p>
      <w:pPr>
        <w:spacing w:before="60" w:after="0" w:line="240"/>
      </w:pPr>
      <w:r>
        <w:t xml:space="preserve"/>
      </w:r>
    </w:p>
    <w:p>
      <w:pPr>
        <w:spacing w:before="80" w:after="100" w:line="308"/>
      </w:pPr>
      <w:r>
        <w:rPr>
          <w:rFonts w:ascii="Arial" w:cs="Arial" w:eastAsia="Arial" w:hAnsi="Arial"/>
          <w:b w:val="false"/>
          <w:bCs w:val="false"/>
          <w:i w:val="false"/>
          <w:iCs w:val="false"/>
          <w:color w:val="0F0C07"/>
          <w:sz w:val="22"/>
          <w:szCs w:val="22"/>
        </w:rPr>
        <w:t xml:space="preserve">This document defines the problems MKG is built to solve permanently: read the signals the moment they appear, in every language they appear in; traverse the relationship network automatically before consensus forms or the disruption cascades; deliver the answer in 60 seconds with a full causal chain; and encode the tribal knowledge so it outlives every expert who built it.</w:t>
      </w:r>
    </w:p>
    <w:p>
      <w:pPr>
        <w:spacing w:before="60" w:after="0" w:line="240"/>
      </w:pPr>
      <w:r>
        <w:t xml:space="preserve"/>
      </w:r>
    </w:p>
    <w:p>
      <w:pPr>
        <w:spacing w:before="80" w:after="100" w:line="308"/>
      </w:pPr>
      <w:r>
        <w:rPr>
          <w:rFonts w:ascii="Arial" w:cs="Arial" w:eastAsia="Arial" w:hAnsi="Arial"/>
          <w:b/>
          <w:bCs/>
          <w:i w:val="false"/>
          <w:iCs w:val="false"/>
          <w:color w:val="1A3A6E"/>
          <w:sz w:val="22"/>
          <w:szCs w:val="22"/>
        </w:rPr>
        <w:t xml:space="preserve">Every design decision made from this point forward begins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2026-02-22T16:08:32.318Z</dcterms:created>
  <dcterms:modified xsi:type="dcterms:W3CDTF">2026-02-22T16:08:32.319Z</dcterms:modified>
</cp:coreProperties>
</file>

<file path=docProps/custom.xml><?xml version="1.0" encoding="utf-8"?>
<Properties xmlns="http://schemas.openxmlformats.org/officeDocument/2006/custom-properties" xmlns:vt="http://schemas.openxmlformats.org/officeDocument/2006/docPropsVTypes"/>
</file>