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4D9" w:rsidRPr="00157FD2" w:rsidRDefault="00E834D9" w:rsidP="00E834D9">
      <w:pPr>
        <w:spacing w:after="0"/>
        <w:ind w:right="720"/>
        <w:rPr>
          <w:rFonts w:ascii="Tahoma" w:hAnsi="Tahoma" w:cs="Tahoma"/>
          <w:b/>
          <w:sz w:val="20"/>
          <w:szCs w:val="20"/>
        </w:rPr>
      </w:pPr>
      <w:bookmarkStart w:id="0" w:name="_GoBack"/>
      <w:bookmarkEnd w:id="0"/>
      <w:r w:rsidRPr="00157FD2">
        <w:rPr>
          <w:rFonts w:ascii="Tahoma" w:hAnsi="Tahoma" w:cs="Tahoma"/>
          <w:b/>
          <w:sz w:val="20"/>
          <w:szCs w:val="20"/>
        </w:rPr>
        <w:t xml:space="preserve">EMBARGOED UNTIL </w:t>
      </w:r>
      <w:r w:rsidR="00D21C54">
        <w:rPr>
          <w:rFonts w:ascii="Tahoma" w:hAnsi="Tahoma" w:cs="Tahoma"/>
          <w:b/>
          <w:sz w:val="20"/>
          <w:szCs w:val="20"/>
        </w:rPr>
        <w:t>OCTOBER 7, 2014</w:t>
      </w:r>
      <w:r w:rsidRPr="00157FD2">
        <w:rPr>
          <w:rFonts w:ascii="Tahoma" w:hAnsi="Tahoma" w:cs="Tahoma"/>
          <w:b/>
          <w:sz w:val="20"/>
          <w:szCs w:val="20"/>
        </w:rPr>
        <w:tab/>
      </w:r>
      <w:r w:rsidRPr="00157FD2">
        <w:rPr>
          <w:rFonts w:ascii="Tahoma" w:hAnsi="Tahoma" w:cs="Tahoma"/>
          <w:b/>
          <w:sz w:val="20"/>
          <w:szCs w:val="20"/>
        </w:rPr>
        <w:tab/>
      </w:r>
    </w:p>
    <w:p w:rsidR="00E834D9" w:rsidRPr="00157FD2" w:rsidRDefault="00E834D9" w:rsidP="00E834D9">
      <w:pPr>
        <w:spacing w:after="0" w:line="240" w:lineRule="auto"/>
        <w:ind w:right="720"/>
        <w:jc w:val="both"/>
        <w:rPr>
          <w:rFonts w:ascii="Tahoma" w:hAnsi="Tahoma" w:cs="Tahoma"/>
          <w:b/>
          <w:sz w:val="20"/>
          <w:szCs w:val="20"/>
        </w:rPr>
      </w:pPr>
      <w:r w:rsidRPr="00157FD2">
        <w:rPr>
          <w:rFonts w:ascii="Tahoma" w:hAnsi="Tahoma" w:cs="Tahoma"/>
          <w:b/>
          <w:sz w:val="20"/>
          <w:szCs w:val="20"/>
        </w:rPr>
        <w:tab/>
      </w:r>
    </w:p>
    <w:p w:rsidR="00E834D9" w:rsidRPr="00157FD2" w:rsidRDefault="00E834D9" w:rsidP="00E834D9">
      <w:pPr>
        <w:spacing w:after="0" w:line="240" w:lineRule="auto"/>
        <w:ind w:right="720"/>
        <w:jc w:val="both"/>
        <w:rPr>
          <w:rFonts w:ascii="Tahoma" w:eastAsia="Times New Roman" w:hAnsi="Tahoma" w:cs="Tahoma"/>
          <w:color w:val="000000"/>
          <w:sz w:val="20"/>
          <w:szCs w:val="20"/>
        </w:rPr>
      </w:pPr>
    </w:p>
    <w:p w:rsidR="00E834D9" w:rsidRPr="00157FD2" w:rsidRDefault="00E834D9" w:rsidP="00E834D9">
      <w:pPr>
        <w:spacing w:after="0" w:line="240" w:lineRule="auto"/>
        <w:ind w:right="720"/>
        <w:jc w:val="both"/>
        <w:rPr>
          <w:rFonts w:ascii="Tahoma" w:eastAsia="Times New Roman" w:hAnsi="Tahoma" w:cs="Tahoma"/>
          <w:color w:val="000000"/>
          <w:sz w:val="20"/>
          <w:szCs w:val="20"/>
        </w:rPr>
      </w:pPr>
      <w:r w:rsidRPr="00157FD2">
        <w:rPr>
          <w:rFonts w:ascii="Tahoma" w:eastAsia="Times New Roman" w:hAnsi="Tahoma" w:cs="Tahoma"/>
          <w:color w:val="000000"/>
          <w:sz w:val="20"/>
          <w:szCs w:val="20"/>
        </w:rPr>
        <w:t xml:space="preserve">CONTACT: </w:t>
      </w:r>
      <w:r w:rsidRPr="00157FD2">
        <w:rPr>
          <w:rFonts w:ascii="Tahoma" w:eastAsia="Times New Roman" w:hAnsi="Tahoma" w:cs="Tahoma"/>
          <w:color w:val="000000"/>
          <w:sz w:val="20"/>
          <w:szCs w:val="20"/>
        </w:rPr>
        <w:tab/>
        <w:t>Elizabeth Finley</w:t>
      </w:r>
    </w:p>
    <w:p w:rsidR="00E834D9" w:rsidRPr="00157FD2" w:rsidRDefault="00E834D9" w:rsidP="00E834D9">
      <w:pPr>
        <w:spacing w:after="0" w:line="240" w:lineRule="auto"/>
        <w:ind w:right="720"/>
        <w:jc w:val="both"/>
        <w:rPr>
          <w:rFonts w:ascii="Tahoma" w:eastAsia="Times New Roman" w:hAnsi="Tahoma" w:cs="Tahoma"/>
          <w:color w:val="000000"/>
          <w:sz w:val="20"/>
          <w:szCs w:val="20"/>
        </w:rPr>
      </w:pPr>
      <w:r w:rsidRPr="00157FD2">
        <w:rPr>
          <w:rFonts w:ascii="Tahoma" w:eastAsia="Times New Roman" w:hAnsi="Tahoma" w:cs="Tahoma"/>
          <w:color w:val="000000"/>
          <w:sz w:val="20"/>
          <w:szCs w:val="20"/>
        </w:rPr>
        <w:tab/>
      </w:r>
      <w:r w:rsidRPr="00157FD2">
        <w:rPr>
          <w:rFonts w:ascii="Tahoma" w:eastAsia="Times New Roman" w:hAnsi="Tahoma" w:cs="Tahoma"/>
          <w:color w:val="000000"/>
          <w:sz w:val="20"/>
          <w:szCs w:val="20"/>
        </w:rPr>
        <w:tab/>
        <w:t>Director of Strategic Communications</w:t>
      </w:r>
    </w:p>
    <w:p w:rsidR="00E834D9" w:rsidRPr="00E834D9" w:rsidRDefault="00E834D9" w:rsidP="00E834D9">
      <w:pPr>
        <w:spacing w:after="0" w:line="240" w:lineRule="auto"/>
        <w:ind w:right="720"/>
        <w:jc w:val="both"/>
        <w:rPr>
          <w:rFonts w:ascii="Tahoma" w:eastAsia="Times New Roman" w:hAnsi="Tahoma" w:cs="Tahoma"/>
          <w:b/>
          <w:color w:val="000000"/>
          <w:sz w:val="20"/>
          <w:szCs w:val="20"/>
        </w:rPr>
      </w:pPr>
      <w:r w:rsidRPr="00157FD2">
        <w:rPr>
          <w:rFonts w:ascii="Tahoma" w:eastAsia="Times New Roman" w:hAnsi="Tahoma" w:cs="Tahoma"/>
          <w:color w:val="000000"/>
          <w:sz w:val="20"/>
          <w:szCs w:val="20"/>
        </w:rPr>
        <w:tab/>
      </w:r>
      <w:r w:rsidRPr="00157FD2">
        <w:rPr>
          <w:rFonts w:ascii="Tahoma" w:eastAsia="Times New Roman" w:hAnsi="Tahoma" w:cs="Tahoma"/>
          <w:color w:val="000000"/>
          <w:sz w:val="20"/>
          <w:szCs w:val="20"/>
        </w:rPr>
        <w:tab/>
      </w:r>
      <w:r w:rsidRPr="00E834D9">
        <w:rPr>
          <w:rFonts w:ascii="Tahoma" w:eastAsia="Times New Roman" w:hAnsi="Tahoma" w:cs="Tahoma"/>
          <w:b/>
          <w:color w:val="000000"/>
          <w:sz w:val="20"/>
          <w:szCs w:val="20"/>
        </w:rPr>
        <w:t>Mobile: (919) 749-7309</w:t>
      </w:r>
    </w:p>
    <w:p w:rsidR="00E834D9" w:rsidRDefault="00E834D9" w:rsidP="00E834D9">
      <w:pPr>
        <w:spacing w:after="0" w:line="240" w:lineRule="auto"/>
        <w:ind w:right="720"/>
        <w:jc w:val="both"/>
        <w:rPr>
          <w:rFonts w:ascii="Tahoma" w:eastAsia="Times New Roman" w:hAnsi="Tahoma" w:cs="Tahoma"/>
          <w:color w:val="000000"/>
          <w:sz w:val="20"/>
          <w:szCs w:val="20"/>
        </w:rPr>
      </w:pPr>
      <w:r>
        <w:rPr>
          <w:rFonts w:ascii="Tahoma" w:eastAsia="Times New Roman" w:hAnsi="Tahoma" w:cs="Tahoma"/>
          <w:color w:val="000000"/>
          <w:sz w:val="20"/>
          <w:szCs w:val="20"/>
        </w:rPr>
        <w:tab/>
      </w:r>
      <w:r>
        <w:rPr>
          <w:rFonts w:ascii="Tahoma" w:eastAsia="Times New Roman" w:hAnsi="Tahoma" w:cs="Tahoma"/>
          <w:color w:val="000000"/>
          <w:sz w:val="20"/>
          <w:szCs w:val="20"/>
        </w:rPr>
        <w:tab/>
      </w:r>
      <w:r w:rsidRPr="00157FD2">
        <w:rPr>
          <w:rFonts w:ascii="Tahoma" w:eastAsia="Times New Roman" w:hAnsi="Tahoma" w:cs="Tahoma"/>
          <w:color w:val="000000"/>
          <w:sz w:val="20"/>
          <w:szCs w:val="20"/>
        </w:rPr>
        <w:t>Office: (919) 226-1880</w:t>
      </w:r>
      <w:r w:rsidRPr="00157FD2">
        <w:rPr>
          <w:rFonts w:ascii="Tahoma" w:eastAsia="Times New Roman" w:hAnsi="Tahoma" w:cs="Tahoma"/>
          <w:color w:val="000000"/>
          <w:sz w:val="20"/>
          <w:szCs w:val="20"/>
        </w:rPr>
        <w:tab/>
      </w:r>
      <w:r w:rsidRPr="00157FD2">
        <w:rPr>
          <w:rFonts w:ascii="Tahoma" w:eastAsia="Times New Roman" w:hAnsi="Tahoma" w:cs="Tahoma"/>
          <w:color w:val="000000"/>
          <w:sz w:val="20"/>
          <w:szCs w:val="20"/>
        </w:rPr>
        <w:tab/>
      </w:r>
    </w:p>
    <w:p w:rsidR="00E834D9" w:rsidRPr="00157FD2" w:rsidRDefault="00DB5763" w:rsidP="00E834D9">
      <w:pPr>
        <w:spacing w:after="0" w:line="240" w:lineRule="auto"/>
        <w:ind w:left="720" w:right="720" w:firstLine="720"/>
        <w:jc w:val="both"/>
        <w:rPr>
          <w:rFonts w:ascii="Tahoma" w:eastAsia="Times New Roman" w:hAnsi="Tahoma" w:cs="Tahoma"/>
          <w:color w:val="000000"/>
          <w:sz w:val="20"/>
          <w:szCs w:val="20"/>
        </w:rPr>
      </w:pPr>
      <w:hyperlink r:id="rId8" w:history="1">
        <w:r w:rsidR="00E834D9" w:rsidRPr="00157FD2">
          <w:rPr>
            <w:rStyle w:val="Hyperlink"/>
            <w:rFonts w:ascii="Tahoma" w:eastAsia="Times New Roman" w:hAnsi="Tahoma" w:cs="Tahoma"/>
            <w:sz w:val="20"/>
            <w:szCs w:val="20"/>
          </w:rPr>
          <w:t>efinley@appcnc.org</w:t>
        </w:r>
      </w:hyperlink>
      <w:r w:rsidR="00E834D9" w:rsidRPr="00157FD2">
        <w:rPr>
          <w:rFonts w:ascii="Tahoma" w:eastAsia="Times New Roman" w:hAnsi="Tahoma" w:cs="Tahoma"/>
          <w:color w:val="000000"/>
          <w:sz w:val="20"/>
          <w:szCs w:val="20"/>
        </w:rPr>
        <w:t xml:space="preserve"> </w:t>
      </w:r>
    </w:p>
    <w:p w:rsidR="00E834D9" w:rsidRDefault="00E834D9" w:rsidP="0073178A">
      <w:pPr>
        <w:spacing w:after="0"/>
        <w:rPr>
          <w:b/>
          <w:sz w:val="24"/>
        </w:rPr>
      </w:pPr>
    </w:p>
    <w:p w:rsidR="00E834D9" w:rsidRDefault="00E834D9" w:rsidP="0073178A">
      <w:pPr>
        <w:spacing w:after="0"/>
        <w:rPr>
          <w:b/>
          <w:sz w:val="24"/>
        </w:rPr>
      </w:pPr>
    </w:p>
    <w:p w:rsidR="0073178A" w:rsidRPr="00E834D9" w:rsidRDefault="0073178A" w:rsidP="00E834D9">
      <w:pPr>
        <w:spacing w:after="0"/>
        <w:jc w:val="center"/>
        <w:rPr>
          <w:b/>
          <w:sz w:val="28"/>
        </w:rPr>
      </w:pPr>
      <w:r w:rsidRPr="00E834D9">
        <w:rPr>
          <w:b/>
          <w:sz w:val="28"/>
        </w:rPr>
        <w:t xml:space="preserve">North Carolina Teen Pregnancies </w:t>
      </w:r>
      <w:r w:rsidR="00D21C54">
        <w:rPr>
          <w:b/>
          <w:sz w:val="28"/>
        </w:rPr>
        <w:t xml:space="preserve">Hit Record Low for </w:t>
      </w:r>
      <w:r w:rsidR="00591583">
        <w:rPr>
          <w:b/>
          <w:sz w:val="28"/>
        </w:rPr>
        <w:t>6</w:t>
      </w:r>
      <w:r w:rsidR="00591583" w:rsidRPr="00641248">
        <w:rPr>
          <w:b/>
          <w:sz w:val="28"/>
          <w:vertAlign w:val="superscript"/>
        </w:rPr>
        <w:t>th</w:t>
      </w:r>
      <w:r w:rsidR="00591583">
        <w:rPr>
          <w:b/>
          <w:sz w:val="28"/>
        </w:rPr>
        <w:t xml:space="preserve"> Consecutive Year</w:t>
      </w:r>
    </w:p>
    <w:p w:rsidR="0073178A" w:rsidRPr="00E834D9" w:rsidRDefault="00591583" w:rsidP="00E834D9">
      <w:pPr>
        <w:spacing w:after="0"/>
        <w:jc w:val="center"/>
        <w:rPr>
          <w:i/>
          <w:sz w:val="28"/>
        </w:rPr>
      </w:pPr>
      <w:r>
        <w:rPr>
          <w:i/>
          <w:sz w:val="28"/>
        </w:rPr>
        <w:t>Teen Pregnancy Rate Down 67% Since 1990</w:t>
      </w:r>
    </w:p>
    <w:p w:rsidR="00E834D9" w:rsidRDefault="00E834D9"/>
    <w:p w:rsidR="006F487A" w:rsidRDefault="00E834D9">
      <w:r>
        <w:rPr>
          <w:b/>
        </w:rPr>
        <w:t xml:space="preserve">DURHAM, N.C. (OCTOBER </w:t>
      </w:r>
      <w:r w:rsidR="00D21C54">
        <w:rPr>
          <w:b/>
        </w:rPr>
        <w:t>7</w:t>
      </w:r>
      <w:r>
        <w:rPr>
          <w:b/>
        </w:rPr>
        <w:t xml:space="preserve">, </w:t>
      </w:r>
      <w:r w:rsidR="00D21C54">
        <w:rPr>
          <w:b/>
        </w:rPr>
        <w:t>2014</w:t>
      </w:r>
      <w:r>
        <w:rPr>
          <w:b/>
        </w:rPr>
        <w:t xml:space="preserve">) – </w:t>
      </w:r>
      <w:r>
        <w:t xml:space="preserve">North </w:t>
      </w:r>
      <w:r w:rsidR="006F487A">
        <w:t xml:space="preserve">Carolina’s teen pregnancy rate fell </w:t>
      </w:r>
      <w:r w:rsidR="00D21C54">
        <w:t>11</w:t>
      </w:r>
      <w:r w:rsidR="006F487A">
        <w:t>% last year</w:t>
      </w:r>
      <w:r w:rsidR="00602F5E">
        <w:t>, hitting a record low for a 6</w:t>
      </w:r>
      <w:r w:rsidR="00602F5E" w:rsidRPr="00602F5E">
        <w:rPr>
          <w:vertAlign w:val="superscript"/>
        </w:rPr>
        <w:t>th</w:t>
      </w:r>
      <w:r w:rsidR="00602F5E">
        <w:t xml:space="preserve"> consecutive year, </w:t>
      </w:r>
      <w:r w:rsidR="002A552A">
        <w:t>according to new data provided by the North Carolina State Center for Health Statistics and released by the Adolescent Pregnancy Prevention Campaign of North Carolina (APPCNC).</w:t>
      </w:r>
      <w:r w:rsidR="0028050B">
        <w:t xml:space="preserve"> Statewide, 11,178 </w:t>
      </w:r>
      <w:r w:rsidR="003B41AA">
        <w:t xml:space="preserve">girls ages </w:t>
      </w:r>
      <w:r w:rsidR="0028050B">
        <w:t xml:space="preserve">15-19 experienced a pregnancy </w:t>
      </w:r>
      <w:r w:rsidR="00602F5E">
        <w:t>in 2013</w:t>
      </w:r>
      <w:r w:rsidR="0028050B">
        <w:t xml:space="preserve">. </w:t>
      </w:r>
    </w:p>
    <w:p w:rsidR="006F487A" w:rsidRDefault="00602F5E">
      <w:r>
        <w:t>The 2013</w:t>
      </w:r>
      <w:r w:rsidR="006F487A">
        <w:t xml:space="preserve"> teen pregnancy rate was </w:t>
      </w:r>
      <w:r w:rsidR="00591583">
        <w:t>35.2</w:t>
      </w:r>
      <w:r w:rsidR="001A2403">
        <w:t xml:space="preserve"> per 1,</w:t>
      </w:r>
      <w:r w:rsidR="00C552F3">
        <w:t>000 15-19-</w:t>
      </w:r>
      <w:r w:rsidR="001A2403">
        <w:t>year-</w:t>
      </w:r>
      <w:r w:rsidR="006F487A">
        <w:t xml:space="preserve">old girls. </w:t>
      </w:r>
      <w:r w:rsidR="00245ADC">
        <w:t xml:space="preserve">In other words, </w:t>
      </w:r>
      <w:r w:rsidR="00591583">
        <w:t>only 3.5</w:t>
      </w:r>
      <w:r w:rsidR="00C552F3">
        <w:t>% of 15-19-</w:t>
      </w:r>
      <w:r w:rsidR="001A2403">
        <w:t>year-</w:t>
      </w:r>
      <w:r w:rsidR="00245ADC">
        <w:t xml:space="preserve">old girls in North Carolina experienced a pregnancy last year. </w:t>
      </w:r>
    </w:p>
    <w:p w:rsidR="006F487A" w:rsidRDefault="006F487A">
      <w:r>
        <w:t xml:space="preserve">Other highlights from the newly released data include: </w:t>
      </w:r>
    </w:p>
    <w:p w:rsidR="00245ADC" w:rsidRDefault="00245ADC" w:rsidP="005436F9">
      <w:pPr>
        <w:pStyle w:val="ListParagraph"/>
        <w:numPr>
          <w:ilvl w:val="0"/>
          <w:numId w:val="1"/>
        </w:numPr>
      </w:pPr>
      <w:r w:rsidRPr="00245ADC">
        <w:t xml:space="preserve">Reduced pregnancies among girls of all racial and ethnic backgrounds, helping to minimize some historical disparities. Pregnancies to white, black, and Hispanic teens dropped </w:t>
      </w:r>
      <w:r w:rsidR="008B7407">
        <w:t>13</w:t>
      </w:r>
      <w:r w:rsidRPr="00245ADC">
        <w:t xml:space="preserve">%, </w:t>
      </w:r>
      <w:r>
        <w:t>11</w:t>
      </w:r>
      <w:r w:rsidRPr="00245ADC">
        <w:t xml:space="preserve">% and </w:t>
      </w:r>
      <w:r w:rsidR="008B7407">
        <w:t>7</w:t>
      </w:r>
      <w:r w:rsidRPr="00245ADC">
        <w:t>%, respectively.</w:t>
      </w:r>
      <w:r w:rsidR="006F487A">
        <w:t xml:space="preserve">   </w:t>
      </w:r>
    </w:p>
    <w:p w:rsidR="00245ADC" w:rsidRDefault="00245ADC" w:rsidP="005436F9">
      <w:pPr>
        <w:pStyle w:val="ListParagraph"/>
        <w:numPr>
          <w:ilvl w:val="0"/>
          <w:numId w:val="1"/>
        </w:numPr>
        <w:spacing w:before="360" w:after="0"/>
      </w:pPr>
      <w:r w:rsidRPr="00245ADC">
        <w:t xml:space="preserve">Reducing the teen pregnancy rate also reduced all potential outcomes of a teen pregnancy. The teen birth rate dropped by </w:t>
      </w:r>
      <w:r w:rsidR="008B7407">
        <w:t>11</w:t>
      </w:r>
      <w:r w:rsidRPr="00245ADC">
        <w:t xml:space="preserve">% and the teen abortion rate dropped by </w:t>
      </w:r>
      <w:r>
        <w:t>13</w:t>
      </w:r>
      <w:r w:rsidRPr="00245ADC">
        <w:t>%.</w:t>
      </w:r>
    </w:p>
    <w:p w:rsidR="00245ADC" w:rsidRDefault="008B7407" w:rsidP="005436F9">
      <w:pPr>
        <w:pStyle w:val="ListParagraph"/>
        <w:numPr>
          <w:ilvl w:val="0"/>
          <w:numId w:val="1"/>
        </w:numPr>
        <w:spacing w:before="360" w:after="0"/>
      </w:pPr>
      <w:r>
        <w:t xml:space="preserve">75% of counties saw teen pregnancy decrease in 2013. </w:t>
      </w:r>
    </w:p>
    <w:p w:rsidR="005436F9" w:rsidRDefault="00245ADC" w:rsidP="005436F9">
      <w:pPr>
        <w:pStyle w:val="ListParagraph"/>
        <w:numPr>
          <w:ilvl w:val="0"/>
          <w:numId w:val="1"/>
        </w:numPr>
        <w:spacing w:before="360" w:after="0"/>
      </w:pPr>
      <w:r>
        <w:t>Less</w:t>
      </w:r>
      <w:r w:rsidR="006F487A">
        <w:t xml:space="preserve"> than one-quarter (24.</w:t>
      </w:r>
      <w:r w:rsidR="008B7407">
        <w:t>3</w:t>
      </w:r>
      <w:r w:rsidR="006F487A">
        <w:t>%</w:t>
      </w:r>
      <w:r>
        <w:t xml:space="preserve">) of pregnancies </w:t>
      </w:r>
      <w:r w:rsidRPr="00245ADC">
        <w:t>happened to a girl who has been pregnant before, the lowest proportion of repeat pregnancies in state history</w:t>
      </w:r>
      <w:r>
        <w:t xml:space="preserve">. </w:t>
      </w:r>
    </w:p>
    <w:p w:rsidR="005436F9" w:rsidRDefault="005436F9" w:rsidP="005436F9">
      <w:pPr>
        <w:pStyle w:val="ListParagraph"/>
        <w:numPr>
          <w:ilvl w:val="0"/>
          <w:numId w:val="1"/>
        </w:numPr>
        <w:spacing w:before="360" w:after="0"/>
      </w:pPr>
      <w:r>
        <w:t xml:space="preserve">North Carolina’s teen pregnancy rate is </w:t>
      </w:r>
      <w:r w:rsidR="008B7407">
        <w:t>67</w:t>
      </w:r>
      <w:r>
        <w:t>% lower than when i</w:t>
      </w:r>
      <w:r w:rsidR="003B41AA">
        <w:t xml:space="preserve">t peaked in 1990 at a rate of 105.4 per 1,000 girls ages 15-19. </w:t>
      </w:r>
      <w:r>
        <w:t xml:space="preserve"> </w:t>
      </w:r>
    </w:p>
    <w:p w:rsidR="003B41AA" w:rsidRDefault="003B41AA"/>
    <w:p w:rsidR="00AF68D9" w:rsidRDefault="00AF68D9">
      <w:r>
        <w:t>Nationwide, researchers have attributed teen pregnancy declines to increased use of birth co</w:t>
      </w:r>
      <w:r w:rsidR="003224C5">
        <w:t xml:space="preserve">ntrol, the availability of highly effective long-acting reversible contraceptives (LARCs) </w:t>
      </w:r>
      <w:r>
        <w:t>like IUDs</w:t>
      </w:r>
      <w:r w:rsidR="005436F9">
        <w:t xml:space="preserve"> and the Implant</w:t>
      </w:r>
      <w:r>
        <w:t xml:space="preserve">, and a slight increase in the average age when teens first engage in sexual intercourse. </w:t>
      </w:r>
      <w:r w:rsidR="008B7407">
        <w:t xml:space="preserve"> North Carolina communities have focused on facilitating these trends. </w:t>
      </w:r>
    </w:p>
    <w:p w:rsidR="005673AD" w:rsidRDefault="005673AD" w:rsidP="005673AD">
      <w:pPr>
        <w:rPr>
          <w:b/>
        </w:rPr>
      </w:pPr>
      <w:r>
        <w:rPr>
          <w:b/>
        </w:rPr>
        <w:lastRenderedPageBreak/>
        <w:t xml:space="preserve">Teen Pregnancy’s </w:t>
      </w:r>
      <w:r w:rsidR="003B41AA">
        <w:rPr>
          <w:b/>
        </w:rPr>
        <w:t>Changing</w:t>
      </w:r>
      <w:r>
        <w:rPr>
          <w:b/>
        </w:rPr>
        <w:t xml:space="preserve"> Face</w:t>
      </w:r>
    </w:p>
    <w:p w:rsidR="005673AD" w:rsidRDefault="005673AD" w:rsidP="005673AD">
      <w:r>
        <w:t xml:space="preserve">Part of the decline in teen pregnancy has been driven by the shrinking number of pregnancies to minors, </w:t>
      </w:r>
      <w:r w:rsidR="00602F5E">
        <w:t>which now</w:t>
      </w:r>
      <w:r>
        <w:t xml:space="preserve"> account for only 29% of the st</w:t>
      </w:r>
      <w:r w:rsidR="00E915A1">
        <w:t xml:space="preserve">ate’s teen pregnancies.  A full </w:t>
      </w:r>
      <w:r>
        <w:t xml:space="preserve">71% of all </w:t>
      </w:r>
      <w:r w:rsidR="00E915A1">
        <w:t xml:space="preserve">adolescent </w:t>
      </w:r>
      <w:r>
        <w:t>pregnancies in</w:t>
      </w:r>
      <w:r w:rsidR="001A2403">
        <w:t xml:space="preserve"> North Carolina happen to 18-19-</w:t>
      </w:r>
      <w:r w:rsidR="00C552F3">
        <w:t>year-</w:t>
      </w:r>
      <w:r>
        <w:t xml:space="preserve">old girls.  </w:t>
      </w:r>
    </w:p>
    <w:p w:rsidR="005673AD" w:rsidRDefault="005673AD" w:rsidP="005673AD">
      <w:r>
        <w:t xml:space="preserve">“The face of teen pregnancy isn’t </w:t>
      </w:r>
      <w:r w:rsidR="001A2403">
        <w:rPr>
          <w:i/>
        </w:rPr>
        <w:t>16 and P</w:t>
      </w:r>
      <w:r w:rsidRPr="006B4F56">
        <w:rPr>
          <w:i/>
        </w:rPr>
        <w:t>regnant</w:t>
      </w:r>
      <w:r>
        <w:t>,” said APPCNC CEO Kay Phillips. “</w:t>
      </w:r>
      <w:r w:rsidR="00CA769F">
        <w:t>We have always</w:t>
      </w:r>
      <w:r>
        <w:t xml:space="preserve"> focus</w:t>
      </w:r>
      <w:r w:rsidR="00CA769F">
        <w:t>ed</w:t>
      </w:r>
      <w:r>
        <w:t xml:space="preserve"> on encouraging parents</w:t>
      </w:r>
      <w:r w:rsidR="00CA769F">
        <w:t>,</w:t>
      </w:r>
      <w:r>
        <w:t xml:space="preserve"> schools</w:t>
      </w:r>
      <w:r w:rsidR="00CA769F">
        <w:t>, and community groups</w:t>
      </w:r>
      <w:r>
        <w:t xml:space="preserve"> to </w:t>
      </w:r>
      <w:r w:rsidR="00681F06">
        <w:t xml:space="preserve">lay the groundwork for smart decision-making with age-appropriate, effective </w:t>
      </w:r>
      <w:r>
        <w:t xml:space="preserve">sex education. Now, we’re </w:t>
      </w:r>
      <w:r w:rsidR="00CA769F">
        <w:t xml:space="preserve">supplementing those strategies by helping </w:t>
      </w:r>
      <w:r w:rsidR="00E915A1">
        <w:t xml:space="preserve">people </w:t>
      </w:r>
      <w:r>
        <w:t xml:space="preserve">connect </w:t>
      </w:r>
      <w:r w:rsidR="003B41AA">
        <w:t>teens</w:t>
      </w:r>
      <w:r>
        <w:t xml:space="preserve"> – especially older teens – with the most effective birth control </w:t>
      </w:r>
      <w:r w:rsidR="00681F06">
        <w:t xml:space="preserve">methods </w:t>
      </w:r>
      <w:r>
        <w:t xml:space="preserve">as they reach the years when sexual activity is typical.”    </w:t>
      </w:r>
    </w:p>
    <w:p w:rsidR="008B7407" w:rsidRDefault="008B7407">
      <w:pPr>
        <w:rPr>
          <w:b/>
        </w:rPr>
      </w:pPr>
      <w:r>
        <w:rPr>
          <w:b/>
        </w:rPr>
        <w:t>A Broader Understanding of Best Practices</w:t>
      </w:r>
    </w:p>
    <w:p w:rsidR="005673AD" w:rsidRDefault="00CA769F">
      <w:r>
        <w:t>M</w:t>
      </w:r>
      <w:r w:rsidR="003B41AA">
        <w:t xml:space="preserve">ore </w:t>
      </w:r>
      <w:r w:rsidR="005473D6">
        <w:t>schools and community organizations have offered evidence-based pregnancy prevention</w:t>
      </w:r>
      <w:r>
        <w:t xml:space="preserve"> education as research has overwhelmingly illustrated the benefits</w:t>
      </w:r>
      <w:r w:rsidR="005473D6">
        <w:t xml:space="preserve">.  </w:t>
      </w:r>
      <w:r w:rsidR="00681F06">
        <w:t xml:space="preserve">However, </w:t>
      </w:r>
      <w:r w:rsidR="005673AD">
        <w:t xml:space="preserve">experts have </w:t>
      </w:r>
      <w:r w:rsidR="00681F06">
        <w:t xml:space="preserve">increasingly </w:t>
      </w:r>
      <w:r w:rsidR="00E915A1">
        <w:t xml:space="preserve">stressed </w:t>
      </w:r>
      <w:r w:rsidR="005673AD">
        <w:t xml:space="preserve">the need to provide sexually active young people with </w:t>
      </w:r>
      <w:r w:rsidR="003224C5">
        <w:t xml:space="preserve">LARCs, </w:t>
      </w:r>
      <w:r w:rsidR="0046293F">
        <w:t>highly</w:t>
      </w:r>
      <w:r w:rsidR="005673AD">
        <w:t xml:space="preserve"> effective </w:t>
      </w:r>
      <w:r w:rsidR="003224C5">
        <w:t>birth control methods</w:t>
      </w:r>
      <w:r w:rsidR="005673AD">
        <w:t xml:space="preserve"> which are associated with drastically lower teen pregnancy rates. </w:t>
      </w:r>
      <w:r w:rsidR="00E915A1">
        <w:t>Last week, t</w:t>
      </w:r>
      <w:r>
        <w:t>he American Academy of Pediatrics recommended Implants and IU</w:t>
      </w:r>
      <w:r w:rsidR="00E915A1">
        <w:t>Ds as the preferred</w:t>
      </w:r>
      <w:r>
        <w:t xml:space="preserve"> first-line contraceptive method for sexually active teens. </w:t>
      </w:r>
    </w:p>
    <w:p w:rsidR="008B7407" w:rsidRDefault="005473D6">
      <w:r>
        <w:t xml:space="preserve">The North Carolina Department of Health and Human Services Teen Pregnancy Prevention Initiatives (TPPI) </w:t>
      </w:r>
      <w:r w:rsidR="005673AD">
        <w:t xml:space="preserve">has been successful with both strategies. </w:t>
      </w:r>
      <w:r w:rsidR="0046293F">
        <w:t>Pre</w:t>
      </w:r>
      <w:r w:rsidR="00CA769F">
        <w:t>gnancy prevention programs in 21</w:t>
      </w:r>
      <w:r w:rsidR="0046293F">
        <w:t xml:space="preserve"> counties have provided </w:t>
      </w:r>
      <w:r>
        <w:t xml:space="preserve">younger teens </w:t>
      </w:r>
      <w:r w:rsidR="0046293F">
        <w:t>wi</w:t>
      </w:r>
      <w:r>
        <w:t xml:space="preserve">th evidence-based and evidence-informed </w:t>
      </w:r>
      <w:r w:rsidR="0046293F">
        <w:t>education</w:t>
      </w:r>
      <w:r>
        <w:t xml:space="preserve"> programs.</w:t>
      </w:r>
      <w:r w:rsidR="005673AD">
        <w:t xml:space="preserve"> In addition, TPPI </w:t>
      </w:r>
      <w:r w:rsidR="00CA769F">
        <w:t>funds 22 programs in 2</w:t>
      </w:r>
      <w:r w:rsidR="00E915A1">
        <w:t>1</w:t>
      </w:r>
      <w:r w:rsidR="005673AD">
        <w:t xml:space="preserve"> counties to help young parents gain parenting and life skills while avoiding a subsequent pregnancy. </w:t>
      </w:r>
    </w:p>
    <w:p w:rsidR="005673AD" w:rsidRDefault="005673AD">
      <w:r>
        <w:t xml:space="preserve">TPPI’s Adolescent Parenting Program has been especially effective at </w:t>
      </w:r>
      <w:r w:rsidR="003A034D">
        <w:t xml:space="preserve">ensuring that participating young women get education and resources to obtain </w:t>
      </w:r>
      <w:r>
        <w:t xml:space="preserve">contraceptive care, and </w:t>
      </w:r>
      <w:r w:rsidR="003A034D">
        <w:t>tools to</w:t>
      </w:r>
      <w:r w:rsidR="0046293F">
        <w:t xml:space="preserve"> </w:t>
      </w:r>
      <w:r w:rsidR="00E915A1">
        <w:t>select</w:t>
      </w:r>
      <w:r w:rsidR="0046293F">
        <w:t xml:space="preserve"> more effective birth control methods. </w:t>
      </w:r>
      <w:r w:rsidR="003224C5">
        <w:t>One in four</w:t>
      </w:r>
      <w:r w:rsidR="0046293F">
        <w:t xml:space="preserve"> Adolescent Par</w:t>
      </w:r>
      <w:r w:rsidR="003224C5">
        <w:t>enting Program participants uses a LARC compared with only 7% of teen patients</w:t>
      </w:r>
      <w:r w:rsidR="003A034D">
        <w:t xml:space="preserve"> </w:t>
      </w:r>
      <w:r w:rsidR="003224C5">
        <w:t xml:space="preserve">seen in the state’s </w:t>
      </w:r>
      <w:r w:rsidR="003A034D">
        <w:t xml:space="preserve">federally funded Title X clinics in local </w:t>
      </w:r>
      <w:r w:rsidR="003224C5">
        <w:t>health departments</w:t>
      </w:r>
      <w:r w:rsidR="003A034D">
        <w:t xml:space="preserve">. </w:t>
      </w:r>
      <w:r w:rsidR="003224C5">
        <w:t xml:space="preserve"> </w:t>
      </w:r>
    </w:p>
    <w:p w:rsidR="00870653" w:rsidRDefault="00870653">
      <w:r>
        <w:t xml:space="preserve">“We see young people waiting longer to have sex and we see them better educated about birth control, which is great,” said Phillips. “But </w:t>
      </w:r>
      <w:r w:rsidR="00E915A1">
        <w:t>our systems break down</w:t>
      </w:r>
      <w:r w:rsidR="003A034D">
        <w:t xml:space="preserve"> when </w:t>
      </w:r>
      <w:r>
        <w:t xml:space="preserve">our health </w:t>
      </w:r>
      <w:r w:rsidR="00E915A1">
        <w:t>care providers</w:t>
      </w:r>
      <w:r>
        <w:t xml:space="preserve"> </w:t>
      </w:r>
      <w:r w:rsidR="003A034D">
        <w:t>don’</w:t>
      </w:r>
      <w:r w:rsidR="00E915A1">
        <w:t>t know about</w:t>
      </w:r>
      <w:r w:rsidR="003A034D">
        <w:t xml:space="preserve"> best practices in adolescent care or</w:t>
      </w:r>
      <w:r>
        <w:t xml:space="preserve"> when young people are only offered </w:t>
      </w:r>
      <w:r w:rsidR="003224C5">
        <w:t xml:space="preserve">traditional </w:t>
      </w:r>
      <w:r>
        <w:t xml:space="preserve">contraceptive methods like the Pill or condoms.”  </w:t>
      </w:r>
    </w:p>
    <w:p w:rsidR="0046293F" w:rsidRDefault="0046293F">
      <w:r>
        <w:t xml:space="preserve">Planned Parenthood Health Systems in New Hanover County seamlessly combines </w:t>
      </w:r>
      <w:r w:rsidR="003A034D">
        <w:t>evidence-based home visiting, peer group support, education,</w:t>
      </w:r>
      <w:r w:rsidR="00E915A1">
        <w:t xml:space="preserve"> </w:t>
      </w:r>
      <w:r>
        <w:t>and access to medical care in their Adolescent Parenting Program. Parti</w:t>
      </w:r>
      <w:r w:rsidR="001A2403">
        <w:t>cipants</w:t>
      </w:r>
      <w:r w:rsidR="00C552F3">
        <w:t>, most of whom are 18-19-</w:t>
      </w:r>
      <w:r>
        <w:t xml:space="preserve">year-old parents, </w:t>
      </w:r>
      <w:r w:rsidR="003A034D">
        <w:t>receive</w:t>
      </w:r>
      <w:r>
        <w:t xml:space="preserve"> the </w:t>
      </w:r>
      <w:r w:rsidRPr="003A034D">
        <w:rPr>
          <w:i/>
        </w:rPr>
        <w:t>Partners for a Healthy Baby</w:t>
      </w:r>
      <w:r>
        <w:t xml:space="preserve"> curriculum, which has been proven to </w:t>
      </w:r>
      <w:r w:rsidR="003A034D">
        <w:t xml:space="preserve">reduce rates of child abuse, </w:t>
      </w:r>
      <w:r>
        <w:t>improve health outcomes for participants</w:t>
      </w:r>
      <w:r w:rsidR="001A2403">
        <w:t>’</w:t>
      </w:r>
      <w:r>
        <w:t xml:space="preserve"> children</w:t>
      </w:r>
      <w:r w:rsidR="003A034D">
        <w:t>, promote family stability,</w:t>
      </w:r>
      <w:r>
        <w:t xml:space="preserve"> and increase young parents’ economic self-sufficiency. </w:t>
      </w:r>
      <w:r w:rsidR="003A034D">
        <w:t>The comprehensive approach to education, support, and medical care has helped</w:t>
      </w:r>
      <w:r>
        <w:t xml:space="preserve"> 58.3% of participants </w:t>
      </w:r>
      <w:r w:rsidR="003A034D">
        <w:t>choose</w:t>
      </w:r>
      <w:r>
        <w:t xml:space="preserve"> </w:t>
      </w:r>
      <w:r w:rsidR="003224C5">
        <w:t>LARC</w:t>
      </w:r>
      <w:r>
        <w:t xml:space="preserve"> to prevent a subsequent pregnancy. </w:t>
      </w:r>
    </w:p>
    <w:p w:rsidR="00641248" w:rsidRDefault="00641248" w:rsidP="00641248">
      <w:r>
        <w:t>“The dramatic decline in teen pregnancy is a remarkable accomplishment for North Carolina,” notes Phillips. “Continuing the combination of effective prevention programs, smart public policy, and best practices in birth control use is the way to keep up the fantastic trend.“</w:t>
      </w:r>
    </w:p>
    <w:p w:rsidR="00ED0102" w:rsidRPr="00E834D9" w:rsidRDefault="00ED0102" w:rsidP="00ED0102">
      <w:pPr>
        <w:rPr>
          <w:b/>
        </w:rPr>
      </w:pPr>
      <w:r w:rsidRPr="00E834D9">
        <w:rPr>
          <w:b/>
        </w:rPr>
        <w:t>A</w:t>
      </w:r>
      <w:r w:rsidR="0073178A" w:rsidRPr="00E834D9">
        <w:rPr>
          <w:b/>
        </w:rPr>
        <w:t xml:space="preserve">dditional </w:t>
      </w:r>
      <w:r w:rsidRPr="00E834D9">
        <w:rPr>
          <w:b/>
        </w:rPr>
        <w:t>Resources:</w:t>
      </w:r>
    </w:p>
    <w:p w:rsidR="00ED0102" w:rsidRDefault="00ED0102" w:rsidP="00E834D9">
      <w:pPr>
        <w:spacing w:after="0"/>
      </w:pPr>
      <w:r>
        <w:t xml:space="preserve">Snapshot of North Carolina Data: </w:t>
      </w:r>
      <w:hyperlink r:id="rId9" w:history="1">
        <w:r w:rsidRPr="00266D1A">
          <w:rPr>
            <w:rStyle w:val="Hyperlink"/>
          </w:rPr>
          <w:t>http://www.appcnc.org/data/map/northcarolina</w:t>
        </w:r>
      </w:hyperlink>
      <w:r>
        <w:t xml:space="preserve"> </w:t>
      </w:r>
    </w:p>
    <w:p w:rsidR="00ED0102" w:rsidRDefault="00ED0102" w:rsidP="00E834D9">
      <w:pPr>
        <w:spacing w:after="0"/>
      </w:pPr>
      <w:r>
        <w:t xml:space="preserve">Data for Each North Carolina County: </w:t>
      </w:r>
      <w:hyperlink r:id="rId10" w:history="1">
        <w:r w:rsidRPr="00266D1A">
          <w:rPr>
            <w:rStyle w:val="Hyperlink"/>
          </w:rPr>
          <w:t>http://www.appcnc.org/data/map</w:t>
        </w:r>
      </w:hyperlink>
      <w:r>
        <w:t xml:space="preserve"> </w:t>
      </w:r>
    </w:p>
    <w:p w:rsidR="00ED0102" w:rsidRDefault="00ED0102" w:rsidP="00E834D9">
      <w:pPr>
        <w:spacing w:after="0"/>
      </w:pPr>
      <w:r>
        <w:lastRenderedPageBreak/>
        <w:t xml:space="preserve">Historical Data: </w:t>
      </w:r>
      <w:hyperlink r:id="rId11" w:history="1">
        <w:r w:rsidRPr="00266D1A">
          <w:rPr>
            <w:rStyle w:val="Hyperlink"/>
          </w:rPr>
          <w:t>http://www.appcnc.org/data/state-statistics/archived-state-statistics</w:t>
        </w:r>
      </w:hyperlink>
      <w:r>
        <w:t xml:space="preserve"> </w:t>
      </w:r>
    </w:p>
    <w:p w:rsidR="00ED0102" w:rsidRDefault="00ED0102" w:rsidP="00E834D9">
      <w:pPr>
        <w:spacing w:after="0"/>
      </w:pPr>
      <w:r>
        <w:t>NC State Center for Health Statistics:</w:t>
      </w:r>
      <w:r w:rsidR="0081345B">
        <w:t xml:space="preserve"> </w:t>
      </w:r>
      <w:hyperlink r:id="rId12" w:history="1">
        <w:r w:rsidR="0081345B">
          <w:rPr>
            <w:rStyle w:val="Hyperlink"/>
          </w:rPr>
          <w:t>http://www.schs.state.nc.us/data/vital.cfm</w:t>
        </w:r>
      </w:hyperlink>
      <w:r>
        <w:t xml:space="preserve"> </w:t>
      </w:r>
    </w:p>
    <w:p w:rsidR="00ED0102" w:rsidRDefault="00ED0102" w:rsidP="00ED0102"/>
    <w:p w:rsidR="00ED0102" w:rsidRPr="00E834D9" w:rsidRDefault="00E834D9" w:rsidP="00E834D9">
      <w:pPr>
        <w:jc w:val="center"/>
      </w:pPr>
      <w:r>
        <w:t>###</w:t>
      </w:r>
    </w:p>
    <w:p w:rsidR="00ED0102" w:rsidRPr="00ED0102" w:rsidRDefault="00ED0102" w:rsidP="00E834D9">
      <w:pPr>
        <w:jc w:val="center"/>
        <w:rPr>
          <w:i/>
        </w:rPr>
      </w:pPr>
      <w:r w:rsidRPr="00ED0102">
        <w:rPr>
          <w:i/>
        </w:rPr>
        <w:t>APPCNC is North Carolina’s nonprofit leader in preventing adolescent pregnancy through advocacy, collaboration and education. Learn more at www.appcnc.org.</w:t>
      </w:r>
    </w:p>
    <w:sectPr w:rsidR="00ED0102" w:rsidRPr="00ED0102" w:rsidSect="001A2403">
      <w:headerReference w:type="default" r:id="rId13"/>
      <w:headerReference w:type="first" r:id="rId14"/>
      <w:pgSz w:w="12240" w:h="15840"/>
      <w:pgMar w:top="1260" w:right="900" w:bottom="630" w:left="81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922" w:rsidRDefault="00007922" w:rsidP="00E834D9">
      <w:pPr>
        <w:spacing w:after="0" w:line="240" w:lineRule="auto"/>
      </w:pPr>
      <w:r>
        <w:separator/>
      </w:r>
    </w:p>
  </w:endnote>
  <w:endnote w:type="continuationSeparator" w:id="0">
    <w:p w:rsidR="00007922" w:rsidRDefault="00007922" w:rsidP="00E8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losofiaUnicase">
    <w:altName w:val="Times New Roman"/>
    <w:charset w:val="00"/>
    <w:family w:val="auto"/>
    <w:pitch w:val="variable"/>
    <w:sig w:usb0="00000001"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922" w:rsidRDefault="00007922" w:rsidP="00E834D9">
      <w:pPr>
        <w:spacing w:after="0" w:line="240" w:lineRule="auto"/>
      </w:pPr>
      <w:r>
        <w:separator/>
      </w:r>
    </w:p>
  </w:footnote>
  <w:footnote w:type="continuationSeparator" w:id="0">
    <w:p w:rsidR="00007922" w:rsidRDefault="00007922" w:rsidP="00E83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22" w:rsidRDefault="00007922">
    <w:pPr>
      <w:pStyle w:val="Header"/>
    </w:pPr>
  </w:p>
  <w:p w:rsidR="00007922" w:rsidRDefault="000079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22" w:rsidRDefault="00007922" w:rsidP="00E834D9">
    <w:pPr>
      <w:pStyle w:val="Header"/>
    </w:pPr>
  </w:p>
  <w:p w:rsidR="00007922" w:rsidRDefault="00007922" w:rsidP="00E834D9">
    <w:pPr>
      <w:pStyle w:val="Header"/>
    </w:pPr>
    <w:r>
      <w:rPr>
        <w:noProof/>
      </w:rPr>
      <mc:AlternateContent>
        <mc:Choice Requires="wps">
          <w:drawing>
            <wp:anchor distT="0" distB="0" distL="114300" distR="114300" simplePos="0" relativeHeight="251660288" behindDoc="0" locked="0" layoutInCell="1" allowOverlap="1" wp14:anchorId="0DA35278" wp14:editId="4D9F88BB">
              <wp:simplePos x="0" y="0"/>
              <wp:positionH relativeFrom="column">
                <wp:posOffset>4838700</wp:posOffset>
              </wp:positionH>
              <wp:positionV relativeFrom="paragraph">
                <wp:posOffset>1181735</wp:posOffset>
              </wp:positionV>
              <wp:extent cx="2009775" cy="37147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71475"/>
                      </a:xfrm>
                      <a:prstGeom prst="rect">
                        <a:avLst/>
                      </a:prstGeom>
                      <a:solidFill>
                        <a:srgbClr val="FFFFFF"/>
                      </a:solidFill>
                      <a:ln w="9525">
                        <a:noFill/>
                        <a:miter lim="800000"/>
                        <a:headEnd/>
                        <a:tailEnd/>
                      </a:ln>
                    </wps:spPr>
                    <wps:txbx>
                      <w:txbxContent>
                        <w:p w:rsidR="00007922" w:rsidRPr="007D289B" w:rsidRDefault="00007922" w:rsidP="00E834D9">
                          <w:pPr>
                            <w:spacing w:after="0"/>
                            <w:rPr>
                              <w:rFonts w:ascii="FilosofiaUnicase" w:hAnsi="FilosofiaUnicase" w:cs="Tahoma"/>
                              <w:color w:val="4F0B7B"/>
                              <w:sz w:val="36"/>
                              <w:szCs w:val="36"/>
                            </w:rPr>
                          </w:pPr>
                          <w:r>
                            <w:rPr>
                              <w:rFonts w:ascii="FilosofiaUnicase" w:hAnsi="FilosofiaUnicase" w:cs="Tahoma"/>
                              <w:color w:val="4F0B7B"/>
                              <w:sz w:val="36"/>
                              <w:szCs w:val="36"/>
                            </w:rPr>
                            <w:t>Press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1pt;margin-top:93.05pt;width:158.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" stroked="f">
              <v:textbox>
                <w:txbxContent>
                  <w:p w:rsidR="00E834D9" w:rsidRPr="007D289B" w:rsidRDefault="00E834D9" w:rsidP="00E834D9">
                    <w:pPr>
                      <w:spacing w:after="0"/>
                      <w:rPr>
                        <w:rFonts w:ascii="FilosofiaUnicase" w:hAnsi="FilosofiaUnicase" w:cs="Tahoma"/>
                        <w:color w:val="4F0B7B"/>
                        <w:sz w:val="36"/>
                        <w:szCs w:val="36"/>
                      </w:rPr>
                    </w:pPr>
                    <w:r>
                      <w:rPr>
                        <w:rFonts w:ascii="FilosofiaUnicase" w:hAnsi="FilosofiaUnicase" w:cs="Tahoma"/>
                        <w:color w:val="4F0B7B"/>
                        <w:sz w:val="36"/>
                        <w:szCs w:val="36"/>
                      </w:rPr>
                      <w:t>Press Release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C4D3E2E" wp14:editId="3A575928">
              <wp:simplePos x="0" y="0"/>
              <wp:positionH relativeFrom="column">
                <wp:posOffset>4838700</wp:posOffset>
              </wp:positionH>
              <wp:positionV relativeFrom="paragraph">
                <wp:posOffset>-1270</wp:posOffset>
              </wp:positionV>
              <wp:extent cx="1847850" cy="1028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028700"/>
                      </a:xfrm>
                      <a:prstGeom prst="rect">
                        <a:avLst/>
                      </a:prstGeom>
                      <a:solidFill>
                        <a:srgbClr val="FFFFFF"/>
                      </a:solidFill>
                      <a:ln w="9525">
                        <a:noFill/>
                        <a:miter lim="800000"/>
                        <a:headEnd/>
                        <a:tailEnd/>
                      </a:ln>
                    </wps:spPr>
                    <wps:txbx>
                      <w:txbxContent>
                        <w:p w:rsidR="00007922" w:rsidRPr="007D289B" w:rsidRDefault="00007922" w:rsidP="00E834D9">
                          <w:pPr>
                            <w:spacing w:after="0"/>
                            <w:rPr>
                              <w:rFonts w:ascii="Tahoma" w:hAnsi="Tahoma" w:cs="Tahoma"/>
                              <w:color w:val="4F0B7B"/>
                              <w:sz w:val="18"/>
                              <w:szCs w:val="18"/>
                            </w:rPr>
                          </w:pPr>
                          <w:r w:rsidRPr="007D289B">
                            <w:rPr>
                              <w:rFonts w:ascii="Tahoma" w:hAnsi="Tahoma" w:cs="Tahoma"/>
                              <w:color w:val="4F0B7B"/>
                              <w:sz w:val="18"/>
                              <w:szCs w:val="18"/>
                            </w:rPr>
                            <w:t>3708 Mayfair Street</w:t>
                          </w:r>
                        </w:p>
                        <w:p w:rsidR="00007922" w:rsidRPr="007D289B" w:rsidRDefault="00007922" w:rsidP="00E834D9">
                          <w:pPr>
                            <w:spacing w:after="0"/>
                            <w:rPr>
                              <w:rFonts w:ascii="Tahoma" w:hAnsi="Tahoma" w:cs="Tahoma"/>
                              <w:color w:val="4F0B7B"/>
                              <w:sz w:val="18"/>
                              <w:szCs w:val="18"/>
                            </w:rPr>
                          </w:pPr>
                          <w:r w:rsidRPr="007D289B">
                            <w:rPr>
                              <w:rFonts w:ascii="Tahoma" w:hAnsi="Tahoma" w:cs="Tahoma"/>
                              <w:color w:val="4F0B7B"/>
                              <w:sz w:val="18"/>
                              <w:szCs w:val="18"/>
                            </w:rPr>
                            <w:t>Suite 310</w:t>
                          </w:r>
                        </w:p>
                        <w:p w:rsidR="00007922" w:rsidRPr="007D289B" w:rsidRDefault="00007922" w:rsidP="00E834D9">
                          <w:pPr>
                            <w:spacing w:after="0"/>
                            <w:rPr>
                              <w:rFonts w:ascii="Tahoma" w:hAnsi="Tahoma" w:cs="Tahoma"/>
                              <w:color w:val="4F0B7B"/>
                              <w:sz w:val="18"/>
                              <w:szCs w:val="18"/>
                            </w:rPr>
                          </w:pPr>
                          <w:r w:rsidRPr="007D289B">
                            <w:rPr>
                              <w:rFonts w:ascii="Tahoma" w:hAnsi="Tahoma" w:cs="Tahoma"/>
                              <w:color w:val="4F0B7B"/>
                              <w:sz w:val="18"/>
                              <w:szCs w:val="18"/>
                            </w:rPr>
                            <w:t>Durham, NC 27707</w:t>
                          </w:r>
                        </w:p>
                        <w:p w:rsidR="00007922" w:rsidRPr="007D289B" w:rsidRDefault="00007922" w:rsidP="00E834D9">
                          <w:pPr>
                            <w:spacing w:after="0"/>
                            <w:rPr>
                              <w:rFonts w:ascii="Tahoma" w:hAnsi="Tahoma" w:cs="Tahoma"/>
                              <w:color w:val="4F0B7B"/>
                              <w:sz w:val="18"/>
                              <w:szCs w:val="18"/>
                            </w:rPr>
                          </w:pPr>
                        </w:p>
                        <w:p w:rsidR="00007922" w:rsidRPr="007D289B" w:rsidRDefault="00007922" w:rsidP="00E834D9">
                          <w:pPr>
                            <w:spacing w:after="0"/>
                            <w:rPr>
                              <w:rFonts w:ascii="Tahoma" w:hAnsi="Tahoma" w:cs="Tahoma"/>
                              <w:color w:val="4F0B7B"/>
                              <w:sz w:val="18"/>
                              <w:szCs w:val="18"/>
                            </w:rPr>
                          </w:pPr>
                          <w:r w:rsidRPr="007D289B">
                            <w:rPr>
                              <w:rFonts w:ascii="Tahoma" w:hAnsi="Tahoma" w:cs="Tahoma"/>
                              <w:color w:val="4F0B7B"/>
                              <w:sz w:val="18"/>
                              <w:szCs w:val="18"/>
                            </w:rPr>
                            <w:t>(919) 226-1880</w:t>
                          </w:r>
                        </w:p>
                        <w:p w:rsidR="00007922" w:rsidRPr="007D289B" w:rsidRDefault="00007922" w:rsidP="00E834D9">
                          <w:pPr>
                            <w:spacing w:after="0"/>
                            <w:rPr>
                              <w:rFonts w:ascii="Tahoma" w:hAnsi="Tahoma" w:cs="Tahoma"/>
                              <w:color w:val="4F0B7B"/>
                              <w:sz w:val="18"/>
                              <w:szCs w:val="18"/>
                            </w:rPr>
                          </w:pPr>
                          <w:r w:rsidRPr="007D289B">
                            <w:rPr>
                              <w:rFonts w:ascii="Tahoma" w:hAnsi="Tahoma" w:cs="Tahoma"/>
                              <w:color w:val="4F0B7B"/>
                              <w:sz w:val="18"/>
                              <w:szCs w:val="18"/>
                            </w:rPr>
                            <w:t>www.appcnc.org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1pt;margin-top:-.1pt;width:145.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" stroked="f">
              <v:textbox>
                <w:txbxContent>
                  <w:p w:rsidR="00E834D9" w:rsidRPr="007D289B" w:rsidRDefault="00E834D9" w:rsidP="00E834D9">
                    <w:pPr>
                      <w:spacing w:after="0"/>
                      <w:rPr>
                        <w:rFonts w:ascii="Tahoma" w:hAnsi="Tahoma" w:cs="Tahoma"/>
                        <w:color w:val="4F0B7B"/>
                        <w:sz w:val="18"/>
                        <w:szCs w:val="18"/>
                      </w:rPr>
                    </w:pPr>
                    <w:r w:rsidRPr="007D289B">
                      <w:rPr>
                        <w:rFonts w:ascii="Tahoma" w:hAnsi="Tahoma" w:cs="Tahoma"/>
                        <w:color w:val="4F0B7B"/>
                        <w:sz w:val="18"/>
                        <w:szCs w:val="18"/>
                      </w:rPr>
                      <w:t>3708 Mayfair Street</w:t>
                    </w:r>
                  </w:p>
                  <w:p w:rsidR="00E834D9" w:rsidRPr="007D289B" w:rsidRDefault="00E834D9" w:rsidP="00E834D9">
                    <w:pPr>
                      <w:spacing w:after="0"/>
                      <w:rPr>
                        <w:rFonts w:ascii="Tahoma" w:hAnsi="Tahoma" w:cs="Tahoma"/>
                        <w:color w:val="4F0B7B"/>
                        <w:sz w:val="18"/>
                        <w:szCs w:val="18"/>
                      </w:rPr>
                    </w:pPr>
                    <w:r w:rsidRPr="007D289B">
                      <w:rPr>
                        <w:rFonts w:ascii="Tahoma" w:hAnsi="Tahoma" w:cs="Tahoma"/>
                        <w:color w:val="4F0B7B"/>
                        <w:sz w:val="18"/>
                        <w:szCs w:val="18"/>
                      </w:rPr>
                      <w:t>Suite 310</w:t>
                    </w:r>
                  </w:p>
                  <w:p w:rsidR="00E834D9" w:rsidRPr="007D289B" w:rsidRDefault="00E834D9" w:rsidP="00E834D9">
                    <w:pPr>
                      <w:spacing w:after="0"/>
                      <w:rPr>
                        <w:rFonts w:ascii="Tahoma" w:hAnsi="Tahoma" w:cs="Tahoma"/>
                        <w:color w:val="4F0B7B"/>
                        <w:sz w:val="18"/>
                        <w:szCs w:val="18"/>
                      </w:rPr>
                    </w:pPr>
                    <w:r w:rsidRPr="007D289B">
                      <w:rPr>
                        <w:rFonts w:ascii="Tahoma" w:hAnsi="Tahoma" w:cs="Tahoma"/>
                        <w:color w:val="4F0B7B"/>
                        <w:sz w:val="18"/>
                        <w:szCs w:val="18"/>
                      </w:rPr>
                      <w:t>Durham, NC 27707</w:t>
                    </w:r>
                  </w:p>
                  <w:p w:rsidR="00E834D9" w:rsidRPr="007D289B" w:rsidRDefault="00E834D9" w:rsidP="00E834D9">
                    <w:pPr>
                      <w:spacing w:after="0"/>
                      <w:rPr>
                        <w:rFonts w:ascii="Tahoma" w:hAnsi="Tahoma" w:cs="Tahoma"/>
                        <w:color w:val="4F0B7B"/>
                        <w:sz w:val="18"/>
                        <w:szCs w:val="18"/>
                      </w:rPr>
                    </w:pPr>
                  </w:p>
                  <w:p w:rsidR="00E834D9" w:rsidRPr="007D289B" w:rsidRDefault="00E834D9" w:rsidP="00E834D9">
                    <w:pPr>
                      <w:spacing w:after="0"/>
                      <w:rPr>
                        <w:rFonts w:ascii="Tahoma" w:hAnsi="Tahoma" w:cs="Tahoma"/>
                        <w:color w:val="4F0B7B"/>
                        <w:sz w:val="18"/>
                        <w:szCs w:val="18"/>
                      </w:rPr>
                    </w:pPr>
                    <w:r w:rsidRPr="007D289B">
                      <w:rPr>
                        <w:rFonts w:ascii="Tahoma" w:hAnsi="Tahoma" w:cs="Tahoma"/>
                        <w:color w:val="4F0B7B"/>
                        <w:sz w:val="18"/>
                        <w:szCs w:val="18"/>
                      </w:rPr>
                      <w:t>(919) 226-1880</w:t>
                    </w:r>
                  </w:p>
                  <w:p w:rsidR="00E834D9" w:rsidRPr="007D289B" w:rsidRDefault="00E834D9" w:rsidP="00E834D9">
                    <w:pPr>
                      <w:spacing w:after="0"/>
                      <w:rPr>
                        <w:rFonts w:ascii="Tahoma" w:hAnsi="Tahoma" w:cs="Tahoma"/>
                        <w:color w:val="4F0B7B"/>
                        <w:sz w:val="18"/>
                        <w:szCs w:val="18"/>
                      </w:rPr>
                    </w:pPr>
                    <w:r w:rsidRPr="007D289B">
                      <w:rPr>
                        <w:rFonts w:ascii="Tahoma" w:hAnsi="Tahoma" w:cs="Tahoma"/>
                        <w:color w:val="4F0B7B"/>
                        <w:sz w:val="18"/>
                        <w:szCs w:val="18"/>
                      </w:rPr>
                      <w:t>www.appcnc.org</w:t>
                    </w:r>
                  </w:p>
                </w:txbxContent>
              </v:textbox>
            </v:shape>
          </w:pict>
        </mc:Fallback>
      </mc:AlternateContent>
    </w:r>
    <w:r>
      <w:rPr>
        <w:noProof/>
      </w:rPr>
      <w:drawing>
        <wp:inline distT="0" distB="0" distL="0" distR="0" wp14:anchorId="44042354" wp14:editId="6DCC3883">
          <wp:extent cx="139974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CNC.jpg"/>
                  <pic:cNvPicPr/>
                </pic:nvPicPr>
                <pic:blipFill rotWithShape="1">
                  <a:blip r:embed="rId1">
                    <a:extLst>
                      <a:ext uri="{28A0092B-C50C-407E-A947-70E740481C1C}">
                        <a14:useLocalDpi xmlns:a14="http://schemas.microsoft.com/office/drawing/2010/main" val="0"/>
                      </a:ext>
                    </a:extLst>
                  </a:blip>
                  <a:srcRect t="5333"/>
                  <a:stretch/>
                </pic:blipFill>
                <pic:spPr bwMode="auto">
                  <a:xfrm>
                    <a:off x="0" y="0"/>
                    <a:ext cx="1400175" cy="1352970"/>
                  </a:xfrm>
                  <a:prstGeom prst="rect">
                    <a:avLst/>
                  </a:prstGeom>
                  <a:ln>
                    <a:noFill/>
                  </a:ln>
                  <a:extLst>
                    <a:ext uri="{53640926-AAD7-44D8-BBD7-CCE9431645EC}">
                      <a14:shadowObscured xmlns:a14="http://schemas.microsoft.com/office/drawing/2010/main"/>
                    </a:ext>
                  </a:extLst>
                </pic:spPr>
              </pic:pic>
            </a:graphicData>
          </a:graphic>
        </wp:inline>
      </w:drawing>
    </w:r>
  </w:p>
  <w:p w:rsidR="00007922" w:rsidRDefault="00007922" w:rsidP="00E834D9">
    <w:pPr>
      <w:pStyle w:val="Header"/>
      <w:tabs>
        <w:tab w:val="clear" w:pos="4680"/>
        <w:tab w:val="clear" w:pos="9360"/>
        <w:tab w:val="left" w:pos="7335"/>
      </w:tabs>
    </w:pPr>
    <w:r>
      <w:tab/>
    </w:r>
  </w:p>
  <w:p w:rsidR="00007922" w:rsidRDefault="00007922" w:rsidP="00E834D9">
    <w:pPr>
      <w:pStyle w:val="Header"/>
    </w:pPr>
    <w:r>
      <w:rPr>
        <w:noProof/>
      </w:rPr>
      <mc:AlternateContent>
        <mc:Choice Requires="wps">
          <w:drawing>
            <wp:anchor distT="0" distB="0" distL="114300" distR="114300" simplePos="0" relativeHeight="251661312" behindDoc="0" locked="0" layoutInCell="1" allowOverlap="1" wp14:anchorId="4EA0E21D" wp14:editId="0D0F5B5D">
              <wp:simplePos x="0" y="0"/>
              <wp:positionH relativeFrom="column">
                <wp:posOffset>-1066800</wp:posOffset>
              </wp:positionH>
              <wp:positionV relativeFrom="paragraph">
                <wp:posOffset>30480</wp:posOffset>
              </wp:positionV>
              <wp:extent cx="8639175" cy="0"/>
              <wp:effectExtent l="0" t="0" r="952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9175" cy="0"/>
                      </a:xfrm>
                      <a:prstGeom prst="line">
                        <a:avLst/>
                      </a:prstGeom>
                      <a:noFill/>
                      <a:ln w="254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4pt,2.4pt" to="596.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" strokecolor="#8064a2 [3207]" strokeweight="2pt">
              <v:shadow color="black" opacity="24903f" origin=",.5" offset="0,.55556mm"/>
            </v:line>
          </w:pict>
        </mc:Fallback>
      </mc:AlternateContent>
    </w:r>
  </w:p>
  <w:p w:rsidR="00007922" w:rsidRDefault="000079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2F67"/>
    <w:multiLevelType w:val="hybridMultilevel"/>
    <w:tmpl w:val="8C48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7A"/>
    <w:rsid w:val="00007922"/>
    <w:rsid w:val="000D4B4A"/>
    <w:rsid w:val="001A2403"/>
    <w:rsid w:val="00245ADC"/>
    <w:rsid w:val="0028050B"/>
    <w:rsid w:val="002A552A"/>
    <w:rsid w:val="003224C5"/>
    <w:rsid w:val="003A034D"/>
    <w:rsid w:val="003A0C53"/>
    <w:rsid w:val="003B41AA"/>
    <w:rsid w:val="0046293F"/>
    <w:rsid w:val="0047441F"/>
    <w:rsid w:val="004D3388"/>
    <w:rsid w:val="005436F9"/>
    <w:rsid w:val="005473D6"/>
    <w:rsid w:val="005673AD"/>
    <w:rsid w:val="00591583"/>
    <w:rsid w:val="005D2C6A"/>
    <w:rsid w:val="00602F5E"/>
    <w:rsid w:val="00641248"/>
    <w:rsid w:val="00681F06"/>
    <w:rsid w:val="006F487A"/>
    <w:rsid w:val="0073178A"/>
    <w:rsid w:val="0081345B"/>
    <w:rsid w:val="00870653"/>
    <w:rsid w:val="008B7407"/>
    <w:rsid w:val="0093614A"/>
    <w:rsid w:val="00A05A08"/>
    <w:rsid w:val="00A60DE7"/>
    <w:rsid w:val="00AC0231"/>
    <w:rsid w:val="00AF68D9"/>
    <w:rsid w:val="00BC46BC"/>
    <w:rsid w:val="00C552F3"/>
    <w:rsid w:val="00CA769F"/>
    <w:rsid w:val="00D20EC6"/>
    <w:rsid w:val="00D21C54"/>
    <w:rsid w:val="00DB5763"/>
    <w:rsid w:val="00E834D9"/>
    <w:rsid w:val="00E915A1"/>
    <w:rsid w:val="00ED0102"/>
    <w:rsid w:val="00FC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7A"/>
    <w:pPr>
      <w:ind w:left="720"/>
      <w:contextualSpacing/>
    </w:pPr>
  </w:style>
  <w:style w:type="character" w:styleId="Hyperlink">
    <w:name w:val="Hyperlink"/>
    <w:basedOn w:val="DefaultParagraphFont"/>
    <w:uiPriority w:val="99"/>
    <w:unhideWhenUsed/>
    <w:rsid w:val="00ED0102"/>
    <w:rPr>
      <w:color w:val="0000FF" w:themeColor="hyperlink"/>
      <w:u w:val="single"/>
    </w:rPr>
  </w:style>
  <w:style w:type="paragraph" w:styleId="Header">
    <w:name w:val="header"/>
    <w:basedOn w:val="Normal"/>
    <w:link w:val="HeaderChar"/>
    <w:uiPriority w:val="99"/>
    <w:unhideWhenUsed/>
    <w:rsid w:val="00E8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D9"/>
  </w:style>
  <w:style w:type="paragraph" w:styleId="Footer">
    <w:name w:val="footer"/>
    <w:basedOn w:val="Normal"/>
    <w:link w:val="FooterChar"/>
    <w:uiPriority w:val="99"/>
    <w:unhideWhenUsed/>
    <w:rsid w:val="00E8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D9"/>
  </w:style>
  <w:style w:type="paragraph" w:styleId="BalloonText">
    <w:name w:val="Balloon Text"/>
    <w:basedOn w:val="Normal"/>
    <w:link w:val="BalloonTextChar"/>
    <w:uiPriority w:val="99"/>
    <w:semiHidden/>
    <w:unhideWhenUsed/>
    <w:rsid w:val="00E8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4D9"/>
    <w:rPr>
      <w:rFonts w:ascii="Tahoma" w:hAnsi="Tahoma" w:cs="Tahoma"/>
      <w:sz w:val="16"/>
      <w:szCs w:val="16"/>
    </w:rPr>
  </w:style>
  <w:style w:type="character" w:styleId="FollowedHyperlink">
    <w:name w:val="FollowedHyperlink"/>
    <w:basedOn w:val="DefaultParagraphFont"/>
    <w:uiPriority w:val="99"/>
    <w:semiHidden/>
    <w:unhideWhenUsed/>
    <w:rsid w:val="008134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7A"/>
    <w:pPr>
      <w:ind w:left="720"/>
      <w:contextualSpacing/>
    </w:pPr>
  </w:style>
  <w:style w:type="character" w:styleId="Hyperlink">
    <w:name w:val="Hyperlink"/>
    <w:basedOn w:val="DefaultParagraphFont"/>
    <w:uiPriority w:val="99"/>
    <w:unhideWhenUsed/>
    <w:rsid w:val="00ED0102"/>
    <w:rPr>
      <w:color w:val="0000FF" w:themeColor="hyperlink"/>
      <w:u w:val="single"/>
    </w:rPr>
  </w:style>
  <w:style w:type="paragraph" w:styleId="Header">
    <w:name w:val="header"/>
    <w:basedOn w:val="Normal"/>
    <w:link w:val="HeaderChar"/>
    <w:uiPriority w:val="99"/>
    <w:unhideWhenUsed/>
    <w:rsid w:val="00E8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D9"/>
  </w:style>
  <w:style w:type="paragraph" w:styleId="Footer">
    <w:name w:val="footer"/>
    <w:basedOn w:val="Normal"/>
    <w:link w:val="FooterChar"/>
    <w:uiPriority w:val="99"/>
    <w:unhideWhenUsed/>
    <w:rsid w:val="00E8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D9"/>
  </w:style>
  <w:style w:type="paragraph" w:styleId="BalloonText">
    <w:name w:val="Balloon Text"/>
    <w:basedOn w:val="Normal"/>
    <w:link w:val="BalloonTextChar"/>
    <w:uiPriority w:val="99"/>
    <w:semiHidden/>
    <w:unhideWhenUsed/>
    <w:rsid w:val="00E8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4D9"/>
    <w:rPr>
      <w:rFonts w:ascii="Tahoma" w:hAnsi="Tahoma" w:cs="Tahoma"/>
      <w:sz w:val="16"/>
      <w:szCs w:val="16"/>
    </w:rPr>
  </w:style>
  <w:style w:type="character" w:styleId="FollowedHyperlink">
    <w:name w:val="FollowedHyperlink"/>
    <w:basedOn w:val="DefaultParagraphFont"/>
    <w:uiPriority w:val="99"/>
    <w:semiHidden/>
    <w:unhideWhenUsed/>
    <w:rsid w:val="008134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finley@appcnc.org"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hs.state.nc.us/data/vital.c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ppcnc.org/data/state-statistics/archived-state-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ppcnc.org/data/map" TargetMode="External"/><Relationship Id="rId4" Type="http://schemas.openxmlformats.org/officeDocument/2006/relationships/settings" Target="settings.xml"/><Relationship Id="rId9" Type="http://schemas.openxmlformats.org/officeDocument/2006/relationships/hyperlink" Target="http://www.appcnc.org/data/map/northcarolin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926</Words>
  <Characters>5284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Finley</dc:creator>
  <cp:lastModifiedBy>DPH Staff</cp:lastModifiedBy>
  <cp:revision>2</cp:revision>
  <cp:lastPrinted>2014-10-06T20:08:00Z</cp:lastPrinted>
  <dcterms:created xsi:type="dcterms:W3CDTF">2014-10-06T20:10:00Z</dcterms:created>
  <dcterms:modified xsi:type="dcterms:W3CDTF">2014-10-06T20:10:00Z</dcterms:modified>
</cp:coreProperties>
</file>