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Quantum_Cryptography_Report</w:t>
      </w:r>
    </w:p>
    <w:p>
      <w:pPr>
        <w:pStyle w:val="Heading1"/>
        <w:spacing w:after="150" w:before="300"/>
      </w:pPr>
      <w:r>
        <w:t xml:space="preserve">Advanced Quantum Cryptography Report</w:t>
      </w:r>
    </w:p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  <w:sz w:val="24"/>
          <w:szCs w:val="24"/>
        </w:rPr>
        <w:t xml:space="preserve">According to (Vance et al., 2024), quantum key distribution increased key exchange entropy by 88.5% saving $2,400,000 across 35 secure financial nodes [1].</w:t>
      </w:r>
    </w:p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  <w:sz w:val="24"/>
          <w:szCs w:val="24"/>
        </w:rPr>
        <w:t xml:space="preserve">Furthermore, it is crucial to note that optical transmission latency was 1.2ms. In conclusion, the architecture fosters next-generation network resilience.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References</w:t>
      </w:r>
    </w:p>
    <w:p>
      <w:pPr>
        <w:spacing w:after="160" w:line="360"/>
      </w:pPr>
      <w:r>
        <w:rPr>
          <w:rFonts w:ascii="Calibri" w:cs="Calibri" w:eastAsia="Calibri" w:hAnsi="Calibri"/>
          <w:sz w:val="24"/>
          <w:szCs w:val="24"/>
        </w:rPr>
        <w:t xml:space="preserve">[1] Vance, R. (2024). High-throughput Quantum Entropy. Q-Systems, 12(4), 101-118.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2026-10-05T16:18:40.455Z</dcterms:created>
  <dcterms:modified xsi:type="dcterms:W3CDTF">2026-10-05T16:18:40.456Z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