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19F25" w14:textId="22A5BF33" w:rsidR="00890BD8" w:rsidRDefault="00BB4A5D" w:rsidP="00BB4A5D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BA4D5AD" wp14:editId="744F801C">
            <wp:extent cx="5472000" cy="2057400"/>
            <wp:effectExtent l="0" t="0" r="0" b="0"/>
            <wp:docPr id="10" name="图表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890BD8" w:rsidSect="000A5B44">
      <w:pgSz w:w="11907" w:h="15592"/>
      <w:pgMar w:top="1418" w:right="1418" w:bottom="1418" w:left="1701" w:header="680" w:footer="992" w:gutter="0"/>
      <w:cols w:space="425"/>
      <w:docGrid w:type="linesAndChars" w:linePitch="326" w:charSpace="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02702" w14:textId="77777777" w:rsidR="00767DFF" w:rsidRDefault="00767DFF" w:rsidP="00BB4A5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E1F71C7" w14:textId="77777777" w:rsidR="00767DFF" w:rsidRDefault="00767DFF" w:rsidP="00BB4A5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8AFCE" w14:textId="77777777" w:rsidR="00767DFF" w:rsidRDefault="00767DFF" w:rsidP="00BB4A5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64DFA88" w14:textId="77777777" w:rsidR="00767DFF" w:rsidRDefault="00767DFF" w:rsidP="00BB4A5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C2D"/>
    <w:rsid w:val="0003183C"/>
    <w:rsid w:val="000A5B44"/>
    <w:rsid w:val="00106D58"/>
    <w:rsid w:val="00183ECD"/>
    <w:rsid w:val="001D58BD"/>
    <w:rsid w:val="001E60AB"/>
    <w:rsid w:val="00265348"/>
    <w:rsid w:val="002806A0"/>
    <w:rsid w:val="002B3051"/>
    <w:rsid w:val="003044FD"/>
    <w:rsid w:val="0035147C"/>
    <w:rsid w:val="004B5FCA"/>
    <w:rsid w:val="005C1754"/>
    <w:rsid w:val="005F279F"/>
    <w:rsid w:val="006310FA"/>
    <w:rsid w:val="007602D8"/>
    <w:rsid w:val="00767DFF"/>
    <w:rsid w:val="00890BD8"/>
    <w:rsid w:val="008F34BB"/>
    <w:rsid w:val="009055AF"/>
    <w:rsid w:val="00A477C3"/>
    <w:rsid w:val="00B23EA5"/>
    <w:rsid w:val="00B80160"/>
    <w:rsid w:val="00BB4A5D"/>
    <w:rsid w:val="00C81152"/>
    <w:rsid w:val="00D27B6B"/>
    <w:rsid w:val="00D84FBE"/>
    <w:rsid w:val="00E10C89"/>
    <w:rsid w:val="00ED4B07"/>
    <w:rsid w:val="00F27C2D"/>
    <w:rsid w:val="00FB6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D4AD986-98FA-451A-B181-89326AEA0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27C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7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7C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7C2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7C2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7C2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7C2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7C2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7C2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7C2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7C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7C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7C2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7C2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27C2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7C2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7C2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7C2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7C2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7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7C2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7C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7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7C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7C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7C2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7C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7C2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27C2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B4A5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B4A5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B4A5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B4A5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2703966721140989"/>
          <c:y val="0"/>
          <c:w val="0.75817936908829797"/>
          <c:h val="0.98949170987772872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solidFill>
              <a:srgbClr val="0F6FC6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>
                        <a:alpha val="80000"/>
                      </a:sys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Sheet1!$A$2:$A$9</c:f>
              <c:strCache>
                <c:ptCount val="8"/>
                <c:pt idx="0">
                  <c:v>广州市</c:v>
                </c:pt>
                <c:pt idx="1">
                  <c:v>河源市</c:v>
                </c:pt>
                <c:pt idx="2">
                  <c:v>深圳市</c:v>
                </c:pt>
                <c:pt idx="3">
                  <c:v>佛山市</c:v>
                </c:pt>
                <c:pt idx="4">
                  <c:v>东莞市</c:v>
                </c:pt>
                <c:pt idx="5">
                  <c:v>中山市</c:v>
                </c:pt>
                <c:pt idx="6">
                  <c:v>珠海市</c:v>
                </c:pt>
                <c:pt idx="7">
                  <c:v>清远市</c:v>
                </c:pt>
              </c:strCache>
            </c:strRef>
          </c:cat>
          <c:val>
            <c:numRef>
              <c:f>Sheet1!$B$2:$B$9</c:f>
              <c:numCache>
                <c:formatCode>0.00%</c:formatCode>
                <c:ptCount val="8"/>
                <c:pt idx="0">
                  <c:v>0.23976929414995879</c:v>
                </c:pt>
                <c:pt idx="1">
                  <c:v>0.21450151057401812</c:v>
                </c:pt>
                <c:pt idx="2">
                  <c:v>0.18017028288931614</c:v>
                </c:pt>
                <c:pt idx="3">
                  <c:v>0.10711343037627026</c:v>
                </c:pt>
                <c:pt idx="4">
                  <c:v>0.10409228234001648</c:v>
                </c:pt>
                <c:pt idx="5">
                  <c:v>3.5155177149134853E-2</c:v>
                </c:pt>
                <c:pt idx="6">
                  <c:v>3.3232628398791542E-2</c:v>
                </c:pt>
                <c:pt idx="7">
                  <c:v>1.9500137324910738E-2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421-4201-BD32-92001074D73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59"/>
        <c:axId val="1011281120"/>
        <c:axId val="1011250320"/>
      </c:barChart>
      <c:catAx>
        <c:axId val="1011281120"/>
        <c:scaling>
          <c:orientation val="maxMin"/>
        </c:scaling>
        <c:delete val="0"/>
        <c:axPos val="l"/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rgbClr val="0F6FC6"/>
            </a:solidFill>
            <a:prstDash val="solid"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>
                    <a:alpha val="80000"/>
                  </a:sysClr>
                </a:solidFill>
                <a:latin typeface="宋体" panose="02010600030101010101" pitchFamily="2" charset="-122"/>
                <a:ea typeface="宋体" panose="02010600030101010101" pitchFamily="2" charset="-122"/>
                <a:cs typeface="+mn-cs"/>
              </a:defRPr>
            </a:pPr>
            <a:endParaRPr lang="zh-CN"/>
          </a:p>
        </c:txPr>
        <c:crossAx val="1011250320"/>
        <c:crosses val="autoZero"/>
        <c:auto val="1"/>
        <c:lblAlgn val="ctr"/>
        <c:lblOffset val="100"/>
        <c:noMultiLvlLbl val="0"/>
      </c:catAx>
      <c:valAx>
        <c:axId val="1011250320"/>
        <c:scaling>
          <c:orientation val="minMax"/>
          <c:min val="0"/>
        </c:scaling>
        <c:delete val="1"/>
        <c:axPos val="t"/>
        <c:numFmt formatCode="0.00%" sourceLinked="1"/>
        <c:majorTickMark val="out"/>
        <c:minorTickMark val="none"/>
        <c:tickLblPos val="nextTo"/>
        <c:crossAx val="1011281120"/>
        <c:crosses val="autoZero"/>
        <c:crossBetween val="between"/>
      </c:valAx>
      <c:spPr>
        <a:solidFill>
          <a:schemeClr val="bg1"/>
        </a:solidFill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6350" cap="flat" cmpd="sng" algn="ctr">
      <a:noFill/>
      <a:prstDash val="solid"/>
      <a:round/>
    </a:ln>
    <a:effectLst/>
  </c:spPr>
  <c:txPr>
    <a:bodyPr/>
    <a:lstStyle/>
    <a:p>
      <a:pPr>
        <a:defRPr lang="zh-CN"/>
      </a:pPr>
      <a:endParaRPr lang="zh-CN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2">
  <cs:axisTitle>
    <cs:lnRef idx="0"/>
    <cs:fillRef idx="0"/>
    <cs:effectRef idx="0"/>
    <cs:fontRef idx="minor">
      <a:schemeClr val="tx1"/>
    </cs:fontRef>
    <cs:defRPr sz="1000" b="1" kern="1200"/>
  </cs:axisTitle>
  <cs:category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categoryAxis>
  <cs:chartArea mods="allowNoFillOverride allowNoLineOverride">
    <cs:lnRef idx="1">
      <a:schemeClr val="tx1">
        <a:tint val="75000"/>
      </a:schemeClr>
    </cs:lnRef>
    <cs:fillRef idx="1">
      <a:schemeClr val="bg1"/>
    </cs:fillRef>
    <cs:effectRef idx="0"/>
    <cs:fontRef idx="minor">
      <a:schemeClr val="tx1"/>
    </cs:fontRef>
    <cs:spPr>
      <a:ln>
        <a:round/>
      </a:ln>
    </cs:spPr>
    <cs:defRPr sz="1000" kern="1200"/>
  </cs:chartArea>
  <cs:dataLabel>
    <cs:lnRef idx="0"/>
    <cs:fillRef idx="0"/>
    <cs:effectRef idx="0"/>
    <cs:fontRef idx="minor">
      <a:schemeClr val="tx1"/>
    </cs:fontRef>
    <cs:defRPr sz="1000" kern="1200"/>
  </cs:dataLabel>
  <cs:dataLabelCallout>
    <cs:lnRef idx="0"/>
    <cs:fillRef idx="0"/>
    <cs:effectRef idx="0"/>
    <cs:fontRef idx="minor">
      <a:schemeClr val="dk1"/>
    </cs:fontRef>
    <cs:spPr>
      <a:solidFill>
        <a:schemeClr val="lt1"/>
      </a:solidFill>
      <a:ln>
        <a:solidFill>
          <a:schemeClr val="dk1">
            <a:lumMod val="65000"/>
            <a:lumOff val="35000"/>
          </a:schemeClr>
        </a:solidFill>
      </a:ln>
    </cs:spPr>
    <cs:defRPr sz="1000" kern="1200"/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1">
      <cs:styleClr val="auto"/>
    </cs:lnRef>
    <cs:lineWidthScale>3</cs:lineWidthScale>
    <cs:fillRef idx="0"/>
    <cs:effectRef idx="0"/>
    <cs:fontRef idx="minor">
      <a:schemeClr val="tx1"/>
    </cs:fontRef>
    <cs:spPr>
      <a:ln cap="rnd">
        <a:round/>
      </a:ln>
    </cs:spPr>
  </cs:dataPointLine>
  <cs:dataPointMarker>
    <cs:lnRef idx="1">
      <cs:styleClr val="auto"/>
    </cs:lnRef>
    <cs:fillRef idx="1">
      <cs:styleClr val="auto"/>
    </cs:fillRef>
    <cs:effectRef idx="0"/>
    <cs:fontRef idx="minor">
      <a:schemeClr val="tx1"/>
    </cs:fontRef>
    <cs:spPr>
      <a:ln>
        <a:round/>
      </a:ln>
    </cs:spPr>
  </cs:dataPointMarker>
  <cs:dataPointMarkerLayout/>
  <cs:dataPointWireframe>
    <cs:lnRef idx="1">
      <cs:styleClr val="auto"/>
    </cs:lnRef>
    <cs:fillRef idx="0"/>
    <cs:effectRef idx="0"/>
    <cs:fontRef idx="minor">
      <a:schemeClr val="tx1"/>
    </cs:fontRef>
    <cs:spPr>
      <a:ln>
        <a:round/>
      </a:ln>
    </cs:spPr>
  </cs:dataPointWireframe>
  <cs:dataTable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dataTable>
  <cs:downBar>
    <cs:lnRef idx="1">
      <a:schemeClr val="tx1"/>
    </cs:lnRef>
    <cs:fillRef idx="1">
      <a:schemeClr val="dk1">
        <a:tint val="95000"/>
      </a:schemeClr>
    </cs:fillRef>
    <cs:effectRef idx="0"/>
    <cs:fontRef idx="minor">
      <a:schemeClr val="tx1"/>
    </cs:fontRef>
    <cs:spPr>
      <a:ln>
        <a:round/>
      </a:ln>
    </cs:spPr>
  </cs:downBar>
  <cs:drop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dropLine>
  <cs:errorBar>
    <cs:lnRef idx="1">
      <a:schemeClr val="tx1"/>
    </cs:lnRef>
    <cs:fillRef idx="1">
      <a:schemeClr val="tx1"/>
    </cs:fillRef>
    <cs:effectRef idx="0"/>
    <cs:fontRef idx="minor">
      <a:schemeClr val="tx1"/>
    </cs:fontRef>
    <cs:spPr>
      <a:ln>
        <a:round/>
      </a:ln>
    </cs:spPr>
  </cs:errorBar>
  <cs:flo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floor>
  <cs:gridlineMaj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gridlineMajor>
  <cs:gridlineMinor>
    <cs:lnRef idx="1">
      <a:schemeClr val="tx1">
        <a:tint val="50000"/>
      </a:schemeClr>
    </cs:lnRef>
    <cs:fillRef idx="0"/>
    <cs:effectRef idx="0"/>
    <cs:fontRef idx="minor">
      <a:schemeClr val="tx1"/>
    </cs:fontRef>
    <cs:spPr>
      <a:ln>
        <a:round/>
      </a:ln>
    </cs:spPr>
  </cs:gridlineMinor>
  <cs:hiLo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hiLoLine>
  <cs:leader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leaderLine>
  <cs:legend>
    <cs:lnRef idx="0"/>
    <cs:fillRef idx="0"/>
    <cs:effectRef idx="0"/>
    <cs:fontRef idx="minor">
      <a:schemeClr val="tx1"/>
    </cs:fontRef>
    <cs:defRPr sz="1000" kern="1200"/>
  </cs:legend>
  <cs:plotArea mods="allowNoFillOverride allowNoLineOverride">
    <cs:lnRef idx="0"/>
    <cs:fillRef idx="1">
      <a:schemeClr val="bg1"/>
    </cs:fillRef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seriesAxis>
  <cs:series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seriesLine>
  <cs:title>
    <cs:lnRef idx="0"/>
    <cs:fillRef idx="0"/>
    <cs:effectRef idx="0"/>
    <cs:fontRef idx="minor">
      <a:schemeClr val="tx1"/>
    </cs:fontRef>
    <cs:defRPr sz="1800" b="1" kern="1200"/>
  </cs:title>
  <cs:trendline>
    <cs:lnRef idx="1">
      <a:schemeClr val="tx1"/>
    </cs:lnRef>
    <cs:fillRef idx="0"/>
    <cs:effectRef idx="0"/>
    <cs:fontRef idx="minor">
      <a:schemeClr val="tx1"/>
    </cs:fontRef>
    <cs:spPr>
      <a:ln cap="rnd">
        <a:round/>
      </a:ln>
    </cs:spPr>
  </cs:trendline>
  <cs:trendlineLabel>
    <cs:lnRef idx="0"/>
    <cs:fillRef idx="0"/>
    <cs:effectRef idx="0"/>
    <cs:fontRef idx="minor">
      <a:schemeClr val="tx1"/>
    </cs:fontRef>
    <cs:defRPr sz="1000" kern="1200"/>
  </cs:trendlineLabel>
  <cs:upBar>
    <cs:lnRef idx="1">
      <a:schemeClr val="tx1"/>
    </cs:lnRef>
    <cs:fillRef idx="1">
      <a:schemeClr val="dk1">
        <a:tint val="5000"/>
      </a:schemeClr>
    </cs:fillRef>
    <cs:effectRef idx="0"/>
    <cs:fontRef idx="minor">
      <a:schemeClr val="tx1"/>
    </cs:fontRef>
    <cs:spPr>
      <a:ln>
        <a:round/>
      </a:ln>
    </cs:spPr>
  </cs:upBar>
  <cs:value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绿色">
    <a:dk1>
      <a:sysClr val="windowText" lastClr="000000"/>
    </a:dk1>
    <a:lt1>
      <a:sysClr val="window" lastClr="FFFFFF"/>
    </a:lt1>
    <a:dk2>
      <a:srgbClr val="455F51"/>
    </a:dk2>
    <a:lt2>
      <a:srgbClr val="E3DED1"/>
    </a:lt2>
    <a:accent1>
      <a:srgbClr val="549E39"/>
    </a:accent1>
    <a:accent2>
      <a:srgbClr val="8AB833"/>
    </a:accent2>
    <a:accent3>
      <a:srgbClr val="C0CF3A"/>
    </a:accent3>
    <a:accent4>
      <a:srgbClr val="029676"/>
    </a:accent4>
    <a:accent5>
      <a:srgbClr val="4AB5C4"/>
    </a:accent5>
    <a:accent6>
      <a:srgbClr val="0989B1"/>
    </a:accent6>
    <a:hlink>
      <a:srgbClr val="6B9F25"/>
    </a:hlink>
    <a:folHlink>
      <a:srgbClr val="BA6906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军亮 马</dc:creator>
  <cp:keywords/>
  <dc:description/>
  <cp:lastModifiedBy>军亮 马</cp:lastModifiedBy>
  <cp:revision>16</cp:revision>
  <dcterms:created xsi:type="dcterms:W3CDTF">2025-06-03T10:49:00Z</dcterms:created>
  <dcterms:modified xsi:type="dcterms:W3CDTF">2025-07-18T02:46:00Z</dcterms:modified>
</cp:coreProperties>
</file>