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C9609" w14:textId="77777777" w:rsidR="00131794" w:rsidRPr="009E0D19" w:rsidRDefault="00131794" w:rsidP="00131794">
      <w:pPr>
        <w:pStyle w:val="L"/>
        <w:spacing w:line="240" w:lineRule="auto"/>
        <w:ind w:firstLineChars="0" w:firstLine="0"/>
        <w:rPr>
          <w:rFonts w:cs="Times New Roman"/>
          <w:kern w:val="44"/>
          <w:szCs w:val="32"/>
        </w:rPr>
      </w:pPr>
      <w:r w:rsidRPr="009E0D19">
        <w:rPr>
          <w:noProof/>
        </w:rPr>
        <w:drawing>
          <wp:inline distT="0" distB="0" distL="0" distR="0" wp14:anchorId="0B3B31A4" wp14:editId="336BF99C">
            <wp:extent cx="5580380" cy="3418205"/>
            <wp:effectExtent l="0" t="0" r="1270" b="10795"/>
            <wp:docPr id="501615402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7DED5AF4-96CD-0124-776B-8F9BDC0EB17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131794" w:rsidRPr="009E0D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88509" w14:textId="77777777" w:rsidR="00452620" w:rsidRDefault="00452620" w:rsidP="0013179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569036" w14:textId="77777777" w:rsidR="00452620" w:rsidRDefault="00452620" w:rsidP="0013179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D3127" w14:textId="77777777" w:rsidR="00452620" w:rsidRDefault="00452620" w:rsidP="0013179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B85838" w14:textId="77777777" w:rsidR="00452620" w:rsidRDefault="00452620" w:rsidP="0013179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5E"/>
    <w:rsid w:val="000321B5"/>
    <w:rsid w:val="00131794"/>
    <w:rsid w:val="002B142C"/>
    <w:rsid w:val="003E5FDF"/>
    <w:rsid w:val="00452620"/>
    <w:rsid w:val="004F485F"/>
    <w:rsid w:val="00566E5E"/>
    <w:rsid w:val="00906BC1"/>
    <w:rsid w:val="009252D6"/>
    <w:rsid w:val="00A660A3"/>
    <w:rsid w:val="00AB6A2D"/>
    <w:rsid w:val="00B90F15"/>
    <w:rsid w:val="00BD0334"/>
    <w:rsid w:val="00C91869"/>
    <w:rsid w:val="00D14594"/>
    <w:rsid w:val="00DE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3F6D31"/>
  <w15:chartTrackingRefBased/>
  <w15:docId w15:val="{E93D976F-C37E-4527-A82F-7C6B6E2F6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6E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E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E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E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E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E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E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E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6E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E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E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6E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E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E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E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6E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6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E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6E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6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6E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6E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6E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6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6E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66E5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179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179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179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1794"/>
    <w:rPr>
      <w:sz w:val="18"/>
      <w:szCs w:val="18"/>
    </w:rPr>
  </w:style>
  <w:style w:type="paragraph" w:customStyle="1" w:styleId="L">
    <w:name w:val="L 正文"/>
    <w:basedOn w:val="a"/>
    <w:link w:val="LChar"/>
    <w:qFormat/>
    <w:rsid w:val="00131794"/>
    <w:pPr>
      <w:widowControl/>
      <w:spacing w:after="0" w:line="360" w:lineRule="auto"/>
      <w:ind w:firstLineChars="200" w:firstLine="480"/>
      <w:jc w:val="both"/>
    </w:pPr>
    <w:rPr>
      <w:rFonts w:ascii="Times New Roman" w:eastAsia="宋体" w:hAnsi="Times New Roman"/>
      <w:color w:val="000000"/>
      <w:kern w:val="0"/>
      <w:sz w:val="24"/>
      <w14:ligatures w14:val="none"/>
    </w:rPr>
  </w:style>
  <w:style w:type="character" w:customStyle="1" w:styleId="LChar">
    <w:name w:val="L 正文 Char"/>
    <w:basedOn w:val="a0"/>
    <w:link w:val="L"/>
    <w:qFormat/>
    <w:rsid w:val="00131794"/>
    <w:rPr>
      <w:rFonts w:ascii="Times New Roman" w:eastAsia="宋体" w:hAnsi="Times New Roman"/>
      <w:color w:val="000000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/>
      <c:bubbleChart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满足度</c:v>
                </c:pt>
              </c:strCache>
            </c:strRef>
          </c:tx>
          <c:spPr>
            <a:solidFill>
              <a:srgbClr val="0070C0"/>
            </a:solidFill>
            <a:ln>
              <a:noFill/>
            </a:ln>
            <a:effectLst/>
          </c:spPr>
          <c:invertIfNegative val="0"/>
          <c:dPt>
            <c:idx val="1"/>
            <c:invertIfNegative val="0"/>
            <c:bubble3D val="1"/>
            <c:spPr>
              <a:solidFill>
                <a:srgbClr val="FF66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AC98-43A2-A87D-DF184AF4BBDF}"/>
              </c:ext>
            </c:extLst>
          </c:dPt>
          <c:dPt>
            <c:idx val="3"/>
            <c:invertIfNegative val="0"/>
            <c:bubble3D val="1"/>
            <c:spPr>
              <a:solidFill>
                <a:srgbClr val="92D05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AC98-43A2-A87D-DF184AF4BBDF}"/>
              </c:ext>
            </c:extLst>
          </c:dPt>
          <c:dPt>
            <c:idx val="4"/>
            <c:invertIfNegative val="0"/>
            <c:bubble3D val="1"/>
            <c:spPr>
              <a:solidFill>
                <a:srgbClr val="FFC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AC98-43A2-A87D-DF184AF4BBDF}"/>
              </c:ext>
            </c:extLst>
          </c:dPt>
          <c:dPt>
            <c:idx val="5"/>
            <c:invertIfNegative val="0"/>
            <c:bubble3D val="1"/>
            <c:spPr>
              <a:solidFill>
                <a:srgbClr val="92D05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AC98-43A2-A87D-DF184AF4BBDF}"/>
              </c:ext>
            </c:extLst>
          </c:dPt>
          <c:dPt>
            <c:idx val="9"/>
            <c:invertIfNegative val="0"/>
            <c:bubble3D val="1"/>
            <c:spPr>
              <a:solidFill>
                <a:srgbClr val="0F6FC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AC98-43A2-A87D-DF184AF4BBDF}"/>
              </c:ext>
            </c:extLst>
          </c:dPt>
          <c:dPt>
            <c:idx val="11"/>
            <c:invertIfNegative val="0"/>
            <c:bubble3D val="1"/>
            <c:spPr>
              <a:solidFill>
                <a:srgbClr val="FF66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AC98-43A2-A87D-DF184AF4BBDF}"/>
              </c:ext>
            </c:extLst>
          </c:dPt>
          <c:dPt>
            <c:idx val="12"/>
            <c:invertIfNegative val="0"/>
            <c:bubble3D val="1"/>
            <c:spPr>
              <a:solidFill>
                <a:srgbClr val="92D05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D-AC98-43A2-A87D-DF184AF4BBDF}"/>
              </c:ext>
            </c:extLst>
          </c:dPt>
          <c:dPt>
            <c:idx val="13"/>
            <c:invertIfNegative val="0"/>
            <c:bubble3D val="1"/>
            <c:spPr>
              <a:solidFill>
                <a:srgbClr val="FFC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F-AC98-43A2-A87D-DF184AF4BBDF}"/>
              </c:ext>
            </c:extLst>
          </c:dPt>
          <c:dLbls>
            <c:dLbl>
              <c:idx val="0"/>
              <c:layout>
                <c:manualLayout>
                  <c:x val="-0.21177375017471936"/>
                  <c:y val="-4.0018079664619292E-3"/>
                </c:manualLayout>
              </c:layout>
              <c:tx>
                <c:rich>
                  <a:bodyPr/>
                  <a:lstStyle/>
                  <a:p>
                    <a:fld id="{84AAB591-384D-44CC-8822-3665BC4B2243}" type="CELLRANGE">
                      <a:rPr lang="en-US" altLang="zh-CN"/>
                      <a:pPr/>
                      <a:t>[CELLRANGE]</a:t>
                    </a:fld>
                    <a:endParaRPr lang="zh-CN" altLang="en-US"/>
                  </a:p>
                </c:rich>
              </c:tx>
              <c:dLblPos val="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10-AC98-43A2-A87D-DF184AF4BBDF}"/>
                </c:ext>
              </c:extLst>
            </c:dLbl>
            <c:dLbl>
              <c:idx val="1"/>
              <c:layout>
                <c:manualLayout>
                  <c:x val="-0.25064440056053527"/>
                  <c:y val="-2.2292402006316214E-2"/>
                </c:manualLayout>
              </c:layout>
              <c:tx>
                <c:rich>
                  <a:bodyPr/>
                  <a:lstStyle/>
                  <a:p>
                    <a:fld id="{68C1D10B-7DB0-451E-9769-EFCDB4AC9C76}" type="CELLRANGE">
                      <a:rPr lang="en-US" altLang="zh-CN"/>
                      <a:pPr/>
                      <a:t>[CELLRANGE]</a:t>
                    </a:fld>
                    <a:endParaRPr lang="zh-CN" altLang="en-US"/>
                  </a:p>
                </c:rich>
              </c:tx>
              <c:dLblPos val="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1-AC98-43A2-A87D-DF184AF4BBDF}"/>
                </c:ext>
              </c:extLst>
            </c:dLbl>
            <c:dLbl>
              <c:idx val="2"/>
              <c:layout>
                <c:manualLayout>
                  <c:x val="-8.9710736544823116E-3"/>
                  <c:y val="-4.7778292992959763E-2"/>
                </c:manualLayout>
              </c:layout>
              <c:tx>
                <c:rich>
                  <a:bodyPr/>
                  <a:lstStyle/>
                  <a:p>
                    <a:fld id="{7ACBE810-5090-4D05-86D6-D130A9ADE707}" type="CELLRANGE">
                      <a:rPr lang="en-US" altLang="zh-CN"/>
                      <a:pPr/>
                      <a:t>[CELLRANGE]</a:t>
                    </a:fld>
                    <a:endParaRPr lang="zh-CN" altLang="en-US"/>
                  </a:p>
                </c:rich>
              </c:tx>
              <c:dLblPos val="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11-AC98-43A2-A87D-DF184AF4BBDF}"/>
                </c:ext>
              </c:extLst>
            </c:dLbl>
            <c:dLbl>
              <c:idx val="3"/>
              <c:layout>
                <c:manualLayout>
                  <c:x val="-0.21374949815607841"/>
                  <c:y val="-2.4145865026492921E-2"/>
                </c:manualLayout>
              </c:layout>
              <c:tx>
                <c:rich>
                  <a:bodyPr/>
                  <a:lstStyle/>
                  <a:p>
                    <a:fld id="{5A14DF36-FCCA-4009-9542-F8988881DAE6}" type="CELLRANGE">
                      <a:rPr lang="en-US" altLang="zh-CN"/>
                      <a:pPr/>
                      <a:t>[CELLRANGE]</a:t>
                    </a:fld>
                    <a:endParaRPr lang="zh-CN" altLang="en-US"/>
                  </a:p>
                </c:rich>
              </c:tx>
              <c:dLblPos val="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3-AC98-43A2-A87D-DF184AF4BBDF}"/>
                </c:ext>
              </c:extLst>
            </c:dLbl>
            <c:dLbl>
              <c:idx val="4"/>
              <c:layout>
                <c:manualLayout>
                  <c:x val="-4.9588704058932277E-3"/>
                  <c:y val="3.8703209277350312E-2"/>
                </c:manualLayout>
              </c:layout>
              <c:tx>
                <c:rich>
                  <a:bodyPr/>
                  <a:lstStyle/>
                  <a:p>
                    <a:fld id="{E28FD714-B752-48CC-A2DB-FC3AA5E441FC}" type="CELLRANGE">
                      <a:rPr lang="en-US" altLang="zh-CN"/>
                      <a:pPr/>
                      <a:t>[CELLRANGE]</a:t>
                    </a:fld>
                    <a:endParaRPr lang="zh-CN" altLang="en-US"/>
                  </a:p>
                </c:rich>
              </c:tx>
              <c:dLblPos val="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5-AC98-43A2-A87D-DF184AF4BBDF}"/>
                </c:ext>
              </c:extLst>
            </c:dLbl>
            <c:dLbl>
              <c:idx val="5"/>
              <c:layout>
                <c:manualLayout>
                  <c:x val="-9.3249205251255296E-2"/>
                  <c:y val="-8.9230751227618005E-2"/>
                </c:manualLayout>
              </c:layout>
              <c:tx>
                <c:rich>
                  <a:bodyPr/>
                  <a:lstStyle/>
                  <a:p>
                    <a:fld id="{97148832-1F86-4DFF-AFFA-16A87DAC0D53}" type="CELLRANGE">
                      <a:rPr lang="en-US" altLang="zh-CN"/>
                      <a:pPr/>
                      <a:t>[CELLRANGE]</a:t>
                    </a:fld>
                    <a:endParaRPr lang="zh-CN" altLang="en-US"/>
                  </a:p>
                </c:rich>
              </c:tx>
              <c:dLblPos val="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7-AC98-43A2-A87D-DF184AF4BBDF}"/>
                </c:ext>
              </c:extLst>
            </c:dLbl>
            <c:dLbl>
              <c:idx val="6"/>
              <c:layout>
                <c:manualLayout>
                  <c:x val="-1.7450424523061153E-3"/>
                  <c:y val="-5.7549210769980153E-2"/>
                </c:manualLayout>
              </c:layout>
              <c:tx>
                <c:rich>
                  <a:bodyPr/>
                  <a:lstStyle/>
                  <a:p>
                    <a:fld id="{D70501A3-0072-4FC7-B3A7-388F0A0D0329}" type="CELLRANGE">
                      <a:rPr lang="en-US" altLang="zh-CN"/>
                      <a:pPr/>
                      <a:t>[CELLRANGE]</a:t>
                    </a:fld>
                    <a:endParaRPr lang="zh-CN" altLang="en-US"/>
                  </a:p>
                </c:rich>
              </c:tx>
              <c:dLblPos val="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12-AC98-43A2-A87D-DF184AF4BBDF}"/>
                </c:ext>
              </c:extLst>
            </c:dLbl>
            <c:dLbl>
              <c:idx val="7"/>
              <c:layout>
                <c:manualLayout>
                  <c:x val="-1.2841419401546966E-3"/>
                  <c:y val="8.2433909025351026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F616D906-D3EA-44E9-A3DE-B8EB4ABABC9F}" type="CELLRANGE">
                      <a:rPr lang="en-US" altLang="zh-CN"/>
                      <a:pPr>
                        <a:defRPr/>
                      </a:pPr>
                      <a:t>[CELLRANGE]</a:t>
                    </a:fld>
                    <a:endParaRPr lang="zh-CN" alt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 altLang="en-US"/>
                </a:p>
              </c:txPr>
              <c:dLblPos val="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0217171590465164"/>
                      <c:h val="5.6338633873626656E-2"/>
                    </c:manualLayout>
                  </c15:layout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13-AC98-43A2-A87D-DF184AF4BBDF}"/>
                </c:ext>
              </c:extLst>
            </c:dLbl>
            <c:dLbl>
              <c:idx val="8"/>
              <c:layout>
                <c:manualLayout>
                  <c:x val="-0.17692648170913092"/>
                  <c:y val="-8.1593116855191536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CD4069D6-A3F8-4F09-8575-FE8BF70FFAFD}" type="CELLRANGE">
                      <a:rPr lang="en-US" altLang="zh-CN"/>
                      <a:pPr>
                        <a:defRPr/>
                      </a:pPr>
                      <a:t>[CELLRANGE]</a:t>
                    </a:fld>
                    <a:endParaRPr lang="zh-CN" alt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 altLang="en-US"/>
                </a:p>
              </c:txPr>
              <c:dLblPos val="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9227436124421635"/>
                      <c:h val="0.11578503922380314"/>
                    </c:manualLayout>
                  </c15:layout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14-AC98-43A2-A87D-DF184AF4BBDF}"/>
                </c:ext>
              </c:extLst>
            </c:dLbl>
            <c:dLbl>
              <c:idx val="9"/>
              <c:layout>
                <c:manualLayout>
                  <c:x val="-0.19607764383410281"/>
                  <c:y val="-4.2300702761665504E-2"/>
                </c:manualLayout>
              </c:layout>
              <c:tx>
                <c:rich>
                  <a:bodyPr/>
                  <a:lstStyle/>
                  <a:p>
                    <a:fld id="{CC956836-CBB5-4AF8-828F-4F13747F095F}" type="CELLRANGE">
                      <a:rPr lang="en-US" altLang="zh-CN"/>
                      <a:pPr/>
                      <a:t>[CELLRANGE]</a:t>
                    </a:fld>
                    <a:endParaRPr lang="zh-CN" altLang="en-US"/>
                  </a:p>
                </c:rich>
              </c:tx>
              <c:dLblPos val="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9-AC98-43A2-A87D-DF184AF4BBDF}"/>
                </c:ext>
              </c:extLst>
            </c:dLbl>
            <c:dLbl>
              <c:idx val="10"/>
              <c:layout>
                <c:manualLayout>
                  <c:x val="-0.11834427046186818"/>
                  <c:y val="4.6628566747752044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451D9B3C-C4CF-48DE-8C96-392988569D25}" type="CELLRANGE">
                      <a:rPr lang="en-US" altLang="zh-CN"/>
                      <a:pPr>
                        <a:defRPr/>
                      </a:pPr>
                      <a:t>[CELLRANGE]</a:t>
                    </a:fld>
                    <a:endParaRPr lang="zh-CN" alt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 altLang="en-US"/>
                </a:p>
              </c:txPr>
              <c:dLblPos val="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1111340087951"/>
                      <c:h val="4.816914140608887E-2"/>
                    </c:manualLayout>
                  </c15:layout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15-AC98-43A2-A87D-DF184AF4BBDF}"/>
                </c:ext>
              </c:extLst>
            </c:dLbl>
            <c:dLbl>
              <c:idx val="11"/>
              <c:layout>
                <c:manualLayout>
                  <c:x val="-0.20038211460743191"/>
                  <c:y val="-1.7706947509078644E-2"/>
                </c:manualLayout>
              </c:layout>
              <c:tx>
                <c:rich>
                  <a:bodyPr/>
                  <a:lstStyle/>
                  <a:p>
                    <a:fld id="{8A019A21-1D04-4FB8-97D2-6E49A7DF9AEE}" type="CELLRANGE">
                      <a:rPr lang="en-US" altLang="zh-CN"/>
                      <a:pPr/>
                      <a:t>[CELLRANGE]</a:t>
                    </a:fld>
                    <a:endParaRPr lang="zh-CN" altLang="en-US"/>
                  </a:p>
                </c:rich>
              </c:tx>
              <c:dLblPos val="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B-AC98-43A2-A87D-DF184AF4BBDF}"/>
                </c:ext>
              </c:extLst>
            </c:dLbl>
            <c:dLbl>
              <c:idx val="12"/>
              <c:layout>
                <c:manualLayout>
                  <c:x val="-0.14839187608174415"/>
                  <c:y val="5.3120842527235937E-2"/>
                </c:manualLayout>
              </c:layout>
              <c:tx>
                <c:rich>
                  <a:bodyPr/>
                  <a:lstStyle/>
                  <a:p>
                    <a:fld id="{2563E7CD-C2E0-4CF2-A2E5-5318D720383F}" type="CELLRANGE">
                      <a:rPr lang="en-US" altLang="zh-CN"/>
                      <a:pPr/>
                      <a:t>[CELLRANGE]</a:t>
                    </a:fld>
                    <a:endParaRPr lang="zh-CN" altLang="en-US"/>
                  </a:p>
                </c:rich>
              </c:tx>
              <c:dLblPos val="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D-AC98-43A2-A87D-DF184AF4BBDF}"/>
                </c:ext>
              </c:extLst>
            </c:dLbl>
            <c:dLbl>
              <c:idx val="13"/>
              <c:layout>
                <c:manualLayout>
                  <c:x val="-1.2001378132467815E-2"/>
                  <c:y val="2.1332383887190748E-2"/>
                </c:manualLayout>
              </c:layout>
              <c:tx>
                <c:rich>
                  <a:bodyPr/>
                  <a:lstStyle/>
                  <a:p>
                    <a:fld id="{F6A9AE2B-B592-42CD-AADD-ABB55911F67E}" type="CELLRANGE">
                      <a:rPr lang="en-US" altLang="zh-CN"/>
                      <a:pPr/>
                      <a:t>[CELLRANGE]</a:t>
                    </a:fld>
                    <a:endParaRPr lang="zh-CN" altLang="en-US"/>
                  </a:p>
                </c:rich>
              </c:tx>
              <c:dLblPos val="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F-AC98-43A2-A87D-DF184AF4BBDF}"/>
                </c:ext>
              </c:extLst>
            </c:dLbl>
            <c:dLbl>
              <c:idx val="14"/>
              <c:layout>
                <c:manualLayout>
                  <c:x val="-2.1296040771416999E-3"/>
                  <c:y val="-7.3815057903197728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0EB463AD-D6B0-474A-A914-60755A09DB08}" type="CELLRANGE">
                      <a:rPr lang="en-US" altLang="zh-CN"/>
                      <a:pPr>
                        <a:defRPr/>
                      </a:pPr>
                      <a:t>[CELLRANGE]</a:t>
                    </a:fld>
                    <a:endParaRPr lang="zh-CN" alt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 altLang="en-US"/>
                </a:p>
              </c:txPr>
              <c:dLblPos val="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0683985678394662"/>
                      <c:h val="6.3478346091003904E-2"/>
                    </c:manualLayout>
                  </c15:layout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16-AC98-43A2-A87D-DF184AF4BBD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0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DataLabelsRange val="1"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Sheet1!$B$2:$B$16</c:f>
              <c:numCache>
                <c:formatCode>0.00_ </c:formatCode>
                <c:ptCount val="15"/>
                <c:pt idx="0">
                  <c:v>4.37</c:v>
                </c:pt>
                <c:pt idx="1">
                  <c:v>4.33</c:v>
                </c:pt>
                <c:pt idx="2">
                  <c:v>4.42</c:v>
                </c:pt>
                <c:pt idx="3">
                  <c:v>4.33</c:v>
                </c:pt>
                <c:pt idx="4">
                  <c:v>4.3600000000000003</c:v>
                </c:pt>
                <c:pt idx="5">
                  <c:v>4.2</c:v>
                </c:pt>
                <c:pt idx="6">
                  <c:v>4.4400000000000004</c:v>
                </c:pt>
                <c:pt idx="7">
                  <c:v>4.42</c:v>
                </c:pt>
                <c:pt idx="8">
                  <c:v>4.3899999999999997</c:v>
                </c:pt>
                <c:pt idx="9">
                  <c:v>4.3600000000000003</c:v>
                </c:pt>
                <c:pt idx="10">
                  <c:v>4.38</c:v>
                </c:pt>
                <c:pt idx="11">
                  <c:v>4.3099999999999996</c:v>
                </c:pt>
                <c:pt idx="12">
                  <c:v>4.29</c:v>
                </c:pt>
                <c:pt idx="13">
                  <c:v>4.3600000000000003</c:v>
                </c:pt>
                <c:pt idx="14">
                  <c:v>4.4400000000000004</c:v>
                </c:pt>
              </c:numCache>
            </c:numRef>
          </c:xVal>
          <c:yVal>
            <c:numRef>
              <c:f>Sheet1!$C$2:$C$16</c:f>
              <c:numCache>
                <c:formatCode>0.00_ </c:formatCode>
                <c:ptCount val="15"/>
                <c:pt idx="0">
                  <c:v>4.2</c:v>
                </c:pt>
                <c:pt idx="1">
                  <c:v>4.24</c:v>
                </c:pt>
                <c:pt idx="2">
                  <c:v>4.28</c:v>
                </c:pt>
                <c:pt idx="3">
                  <c:v>4.12</c:v>
                </c:pt>
                <c:pt idx="4">
                  <c:v>4.12</c:v>
                </c:pt>
                <c:pt idx="5">
                  <c:v>4.04</c:v>
                </c:pt>
                <c:pt idx="6">
                  <c:v>4.18</c:v>
                </c:pt>
                <c:pt idx="7">
                  <c:v>4.18</c:v>
                </c:pt>
                <c:pt idx="8">
                  <c:v>4.22</c:v>
                </c:pt>
                <c:pt idx="9">
                  <c:v>4.16</c:v>
                </c:pt>
                <c:pt idx="10">
                  <c:v>4.2</c:v>
                </c:pt>
                <c:pt idx="11">
                  <c:v>4.1500000000000004</c:v>
                </c:pt>
                <c:pt idx="12">
                  <c:v>4.09</c:v>
                </c:pt>
                <c:pt idx="13">
                  <c:v>4.13</c:v>
                </c:pt>
                <c:pt idx="14">
                  <c:v>4.22</c:v>
                </c:pt>
              </c:numCache>
            </c:numRef>
          </c:yVal>
          <c:bubbleSize>
            <c:numRef>
              <c:f>Sheet1!$D$2:$D$16</c:f>
              <c:numCache>
                <c:formatCode>General</c:formatCode>
                <c:ptCount val="15"/>
                <c:pt idx="0">
                  <c:v>0.01</c:v>
                </c:pt>
                <c:pt idx="1">
                  <c:v>0.01</c:v>
                </c:pt>
                <c:pt idx="2">
                  <c:v>0.01</c:v>
                </c:pt>
                <c:pt idx="3">
                  <c:v>0.01</c:v>
                </c:pt>
                <c:pt idx="4">
                  <c:v>0.01</c:v>
                </c:pt>
                <c:pt idx="5">
                  <c:v>0.01</c:v>
                </c:pt>
                <c:pt idx="6">
                  <c:v>0.01</c:v>
                </c:pt>
                <c:pt idx="7">
                  <c:v>0.01</c:v>
                </c:pt>
                <c:pt idx="8">
                  <c:v>0.01</c:v>
                </c:pt>
                <c:pt idx="9">
                  <c:v>0.01</c:v>
                </c:pt>
                <c:pt idx="10">
                  <c:v>0.01</c:v>
                </c:pt>
                <c:pt idx="11">
                  <c:v>0.01</c:v>
                </c:pt>
                <c:pt idx="12">
                  <c:v>0.01</c:v>
                </c:pt>
                <c:pt idx="13">
                  <c:v>0.01</c:v>
                </c:pt>
                <c:pt idx="14">
                  <c:v>0.01</c:v>
                </c:pt>
              </c:numCache>
            </c:numRef>
          </c:bubbleSize>
          <c:bubble3D val="1"/>
          <c:extLst>
            <c:ext xmlns:c15="http://schemas.microsoft.com/office/drawing/2012/chart" uri="{02D57815-91ED-43cb-92C2-25804820EDAC}">
              <c15:datalabelsRange>
                <c15:f>Sheet1!$A$2:$A$16</c15:f>
                <c15:dlblRangeCache>
                  <c:ptCount val="15"/>
                  <c:pt idx="0">
                    <c:v>健康的身体素质</c:v>
                  </c:pt>
                  <c:pt idx="1">
                    <c:v>敬业精神与职业道德</c:v>
                  </c:pt>
                  <c:pt idx="2">
                    <c:v>自主学习能力</c:v>
                  </c:pt>
                  <c:pt idx="3">
                    <c:v>创新思维与创造力</c:v>
                  </c:pt>
                  <c:pt idx="4">
                    <c:v>专业知识与技能</c:v>
                  </c:pt>
                  <c:pt idx="5">
                    <c:v>数理基础与科学思维</c:v>
                  </c:pt>
                  <c:pt idx="6">
                    <c:v>沟通合作能力</c:v>
                  </c:pt>
                  <c:pt idx="7">
                    <c:v>执行力及分析解决问题能力</c:v>
                  </c:pt>
                  <c:pt idx="8">
                    <c:v>对环境的认知与适应能力</c:v>
                  </c:pt>
                  <c:pt idx="9">
                    <c:v>组织与协调能力</c:v>
                  </c:pt>
                  <c:pt idx="10">
                    <c:v>情绪管理与控制能力</c:v>
                  </c:pt>
                  <c:pt idx="11">
                    <c:v>批判与反思能力</c:v>
                  </c:pt>
                  <c:pt idx="12">
                    <c:v>团队管理与领导能力</c:v>
                  </c:pt>
                  <c:pt idx="13">
                    <c:v>口头与书面表达能力</c:v>
                  </c:pt>
                  <c:pt idx="14">
                    <c:v>心理素质与抗压能力</c:v>
                  </c:pt>
                </c15:dlblRangeCache>
              </c15:datalabelsRange>
            </c:ext>
            <c:ext xmlns:c16="http://schemas.microsoft.com/office/drawing/2014/chart" uri="{C3380CC4-5D6E-409C-BE32-E72D297353CC}">
              <c16:uniqueId val="{00000017-AC98-43A2-A87D-DF184AF4BBDF}"/>
            </c:ext>
          </c:extLst>
        </c:ser>
        <c:ser>
          <c:idx val="1"/>
          <c:order val="1"/>
          <c:tx>
            <c:strRef>
              <c:f>Sheet1!$A$17</c:f>
              <c:strCache>
                <c:ptCount val="1"/>
                <c:pt idx="0">
                  <c:v>交叉点</c:v>
                </c:pt>
              </c:strCache>
            </c:strRef>
          </c:tx>
          <c:spPr>
            <a:noFill/>
            <a:ln w="25400">
              <a:noFill/>
            </a:ln>
            <a:effectLst/>
          </c:spPr>
          <c:invertIfNegative val="0"/>
          <c:errBars>
            <c:errDir val="x"/>
            <c:errBarType val="both"/>
            <c:errValType val="percentage"/>
            <c:noEndCap val="0"/>
            <c:val val="30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errBars>
            <c:errDir val="y"/>
            <c:errBarType val="both"/>
            <c:errValType val="percentage"/>
            <c:noEndCap val="0"/>
            <c:val val="30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Sheet1!$B$17</c:f>
              <c:numCache>
                <c:formatCode>General</c:formatCode>
                <c:ptCount val="1"/>
                <c:pt idx="0">
                  <c:v>4.3499999999999996</c:v>
                </c:pt>
              </c:numCache>
            </c:numRef>
          </c:xVal>
          <c:yVal>
            <c:numRef>
              <c:f>Sheet1!$C$17</c:f>
              <c:numCache>
                <c:formatCode>General</c:formatCode>
                <c:ptCount val="1"/>
                <c:pt idx="0">
                  <c:v>4.1399999999999997</c:v>
                </c:pt>
              </c:numCache>
            </c:numRef>
          </c:yVal>
          <c:bubbleSize>
            <c:numRef>
              <c:f>Sheet1!$D$17</c:f>
              <c:numCache>
                <c:formatCode>General</c:formatCode>
                <c:ptCount val="1"/>
                <c:pt idx="0">
                  <c:v>0.01</c:v>
                </c:pt>
              </c:numCache>
            </c:numRef>
          </c:bubbleSize>
          <c:bubble3D val="1"/>
          <c:extLst>
            <c:ext xmlns:c16="http://schemas.microsoft.com/office/drawing/2014/chart" uri="{C3380CC4-5D6E-409C-BE32-E72D297353CC}">
              <c16:uniqueId val="{00000018-AC98-43A2-A87D-DF184AF4BB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bubbleScale val="25"/>
        <c:showNegBubbles val="0"/>
        <c:axId val="762989656"/>
        <c:axId val="762981376"/>
      </c:bubbleChart>
      <c:valAx>
        <c:axId val="762989656"/>
        <c:scaling>
          <c:orientation val="minMax"/>
          <c:max val="4.45"/>
          <c:min val="4.18"/>
        </c:scaling>
        <c:delete val="0"/>
        <c:axPos val="b"/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762981376"/>
        <c:crosses val="autoZero"/>
        <c:crossBetween val="midCat"/>
      </c:valAx>
      <c:valAx>
        <c:axId val="762981376"/>
        <c:scaling>
          <c:orientation val="minMax"/>
          <c:max val="4.3"/>
          <c:min val="4"/>
        </c:scaling>
        <c:delete val="0"/>
        <c:axPos val="l"/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7629896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>
          <a:alpha val="75000"/>
        </a:schemeClr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>
          <a:alpha val="75000"/>
        </a:schemeClr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>
            <a:alpha val="50000"/>
          </a:schemeClr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0.0723</cdr:x>
      <cdr:y>0.4077</cdr:y>
    </cdr:from>
    <cdr:to>
      <cdr:x>0.18603</cdr:x>
      <cdr:y>0.47676</cdr:y>
    </cdr:to>
    <cdr:sp macro="" textlink="">
      <cdr:nvSpPr>
        <cdr:cNvPr id="2" name="文本框 1">
          <a:extLst xmlns:a="http://schemas.openxmlformats.org/drawingml/2006/main">
            <a:ext uri="{FF2B5EF4-FFF2-40B4-BE49-F238E27FC236}">
              <a16:creationId xmlns:a16="http://schemas.microsoft.com/office/drawing/2014/main" id="{F756ADC6-5E1B-5C14-31E6-E45A602A4C05}"/>
            </a:ext>
          </a:extLst>
        </cdr:cNvPr>
        <cdr:cNvSpPr txBox="1"/>
      </cdr:nvSpPr>
      <cdr:spPr>
        <a:xfrm xmlns:a="http://schemas.openxmlformats.org/drawingml/2006/main">
          <a:off x="423865" y="1462089"/>
          <a:ext cx="666750" cy="247650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>
          <a:noFill/>
        </a:ln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r>
            <a:rPr lang="zh-CN" altLang="en-US" sz="1100" b="1"/>
            <a:t>重要性</a:t>
          </a:r>
        </a:p>
      </cdr:txBody>
    </cdr:sp>
  </cdr:relSizeAnchor>
  <cdr:relSizeAnchor xmlns:cdr="http://schemas.openxmlformats.org/drawingml/2006/chartDrawing">
    <cdr:from>
      <cdr:x>0.48553</cdr:x>
      <cdr:y>0.02497</cdr:y>
    </cdr:from>
    <cdr:to>
      <cdr:x>0.61551</cdr:x>
      <cdr:y>0.12325</cdr:y>
    </cdr:to>
    <cdr:sp macro="" textlink="">
      <cdr:nvSpPr>
        <cdr:cNvPr id="3" name="矩形: 圆角 2">
          <a:extLst xmlns:a="http://schemas.openxmlformats.org/drawingml/2006/main">
            <a:ext uri="{FF2B5EF4-FFF2-40B4-BE49-F238E27FC236}">
              <a16:creationId xmlns:a16="http://schemas.microsoft.com/office/drawing/2014/main" id="{358D5297-9E14-0E77-89DA-51149F6CA86E}"/>
            </a:ext>
          </a:extLst>
        </cdr:cNvPr>
        <cdr:cNvSpPr/>
      </cdr:nvSpPr>
      <cdr:spPr>
        <a:xfrm xmlns:a="http://schemas.openxmlformats.org/drawingml/2006/main">
          <a:off x="2709425" y="85342"/>
          <a:ext cx="725338" cy="335941"/>
        </a:xfrm>
        <a:prstGeom xmlns:a="http://schemas.openxmlformats.org/drawingml/2006/main" prst="roundRect">
          <a:avLst/>
        </a:prstGeom>
        <a:solidFill xmlns:a="http://schemas.openxmlformats.org/drawingml/2006/main">
          <a:schemeClr val="accent6">
            <a:lumMod val="75000"/>
          </a:schemeClr>
        </a:solidFill>
        <a:ln xmlns:a="http://schemas.openxmlformats.org/drawingml/2006/main">
          <a:solidFill>
            <a:schemeClr val="accent6">
              <a:lumMod val="75000"/>
            </a:schemeClr>
          </a:solidFill>
        </a:ln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 anchor="ctr" anchorCtr="0"/>
        <a:lstStyle xmlns:a="http://schemas.openxmlformats.org/drawingml/2006/main"/>
        <a:p xmlns:a="http://schemas.openxmlformats.org/drawingml/2006/main">
          <a:pPr algn="ctr"/>
          <a:r>
            <a:rPr lang="zh-CN" altLang="en-US" sz="1400" b="1"/>
            <a:t>保持</a:t>
          </a:r>
          <a:endParaRPr lang="zh-CN" sz="1400" b="1"/>
        </a:p>
      </cdr:txBody>
    </cdr:sp>
  </cdr:relSizeAnchor>
  <cdr:relSizeAnchor xmlns:cdr="http://schemas.openxmlformats.org/drawingml/2006/chartDrawing">
    <cdr:from>
      <cdr:x>0.63456</cdr:x>
      <cdr:y>0.02466</cdr:y>
    </cdr:from>
    <cdr:to>
      <cdr:x>0.76453</cdr:x>
      <cdr:y>0.12293</cdr:y>
    </cdr:to>
    <cdr:sp macro="" textlink="">
      <cdr:nvSpPr>
        <cdr:cNvPr id="4" name="矩形: 圆角 3">
          <a:extLst xmlns:a="http://schemas.openxmlformats.org/drawingml/2006/main">
            <a:ext uri="{FF2B5EF4-FFF2-40B4-BE49-F238E27FC236}">
              <a16:creationId xmlns:a16="http://schemas.microsoft.com/office/drawing/2014/main" id="{5A61A4DB-9A7F-0B2F-4FA9-4932FBD0C66D}"/>
            </a:ext>
          </a:extLst>
        </cdr:cNvPr>
        <cdr:cNvSpPr/>
      </cdr:nvSpPr>
      <cdr:spPr>
        <a:xfrm xmlns:a="http://schemas.openxmlformats.org/drawingml/2006/main">
          <a:off x="3541066" y="84305"/>
          <a:ext cx="725282" cy="335907"/>
        </a:xfrm>
        <a:prstGeom xmlns:a="http://schemas.openxmlformats.org/drawingml/2006/main" prst="roundRect">
          <a:avLst/>
        </a:prstGeom>
        <a:solidFill xmlns:a="http://schemas.openxmlformats.org/drawingml/2006/main">
          <a:srgbClr val="0070C0"/>
        </a:solidFill>
        <a:ln xmlns:a="http://schemas.openxmlformats.org/drawingml/2006/main">
          <a:solidFill>
            <a:srgbClr val="0070C0"/>
          </a:solidFill>
        </a:ln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anchor="ctr" anchorCtr="0"/>
        <a:lstStyle xmlns:a="http://schemas.openxmlformats.org/drawingml/2006/main">
          <a:lvl1pPr marL="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ctr"/>
          <a:r>
            <a:rPr lang="zh-CN" altLang="en-US" sz="1400" b="1"/>
            <a:t>优势</a:t>
          </a:r>
          <a:endParaRPr lang="zh-CN" sz="1400" b="1"/>
        </a:p>
      </cdr:txBody>
    </cdr:sp>
  </cdr:relSizeAnchor>
  <cdr:relSizeAnchor xmlns:cdr="http://schemas.openxmlformats.org/drawingml/2006/chartDrawing">
    <cdr:from>
      <cdr:x>0.48526</cdr:x>
      <cdr:y>0.81603</cdr:y>
    </cdr:from>
    <cdr:to>
      <cdr:x>0.61523</cdr:x>
      <cdr:y>0.91431</cdr:y>
    </cdr:to>
    <cdr:sp macro="" textlink="">
      <cdr:nvSpPr>
        <cdr:cNvPr id="5" name="矩形: 圆角 4">
          <a:extLst xmlns:a="http://schemas.openxmlformats.org/drawingml/2006/main">
            <a:ext uri="{FF2B5EF4-FFF2-40B4-BE49-F238E27FC236}">
              <a16:creationId xmlns:a16="http://schemas.microsoft.com/office/drawing/2014/main" id="{5A61A4DB-9A7F-0B2F-4FA9-4932FBD0C66D}"/>
            </a:ext>
          </a:extLst>
        </cdr:cNvPr>
        <cdr:cNvSpPr/>
      </cdr:nvSpPr>
      <cdr:spPr>
        <a:xfrm xmlns:a="http://schemas.openxmlformats.org/drawingml/2006/main">
          <a:off x="2707919" y="2789347"/>
          <a:ext cx="725282" cy="335941"/>
        </a:xfrm>
        <a:prstGeom xmlns:a="http://schemas.openxmlformats.org/drawingml/2006/main" prst="roundRect">
          <a:avLst/>
        </a:prstGeom>
        <a:solidFill xmlns:a="http://schemas.openxmlformats.org/drawingml/2006/main">
          <a:srgbClr val="00B050"/>
        </a:solidFill>
        <a:ln xmlns:a="http://schemas.openxmlformats.org/drawingml/2006/main">
          <a:solidFill>
            <a:srgbClr val="00B050"/>
          </a:solidFill>
        </a:ln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anchor="ctr" anchorCtr="0"/>
        <a:lstStyle xmlns:a="http://schemas.openxmlformats.org/drawingml/2006/main">
          <a:lvl1pPr marL="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ctr"/>
          <a:r>
            <a:rPr lang="zh-CN" altLang="en-US" sz="1400" b="1"/>
            <a:t>关注</a:t>
          </a:r>
          <a:endParaRPr lang="zh-CN" sz="1400" b="1"/>
        </a:p>
      </cdr:txBody>
    </cdr:sp>
  </cdr:relSizeAnchor>
  <cdr:relSizeAnchor xmlns:cdr="http://schemas.openxmlformats.org/drawingml/2006/chartDrawing">
    <cdr:from>
      <cdr:x>0.63527</cdr:x>
      <cdr:y>0.81629</cdr:y>
    </cdr:from>
    <cdr:to>
      <cdr:x>0.76525</cdr:x>
      <cdr:y>0.91456</cdr:y>
    </cdr:to>
    <cdr:sp macro="" textlink="">
      <cdr:nvSpPr>
        <cdr:cNvPr id="6" name="矩形: 圆角 5">
          <a:extLst xmlns:a="http://schemas.openxmlformats.org/drawingml/2006/main">
            <a:ext uri="{FF2B5EF4-FFF2-40B4-BE49-F238E27FC236}">
              <a16:creationId xmlns:a16="http://schemas.microsoft.com/office/drawing/2014/main" id="{5A61A4DB-9A7F-0B2F-4FA9-4932FBD0C66D}"/>
            </a:ext>
          </a:extLst>
        </cdr:cNvPr>
        <cdr:cNvSpPr/>
      </cdr:nvSpPr>
      <cdr:spPr>
        <a:xfrm xmlns:a="http://schemas.openxmlformats.org/drawingml/2006/main">
          <a:off x="3545053" y="2790247"/>
          <a:ext cx="725338" cy="335907"/>
        </a:xfrm>
        <a:prstGeom xmlns:a="http://schemas.openxmlformats.org/drawingml/2006/main" prst="roundRect">
          <a:avLst/>
        </a:prstGeom>
        <a:solidFill xmlns:a="http://schemas.openxmlformats.org/drawingml/2006/main">
          <a:srgbClr val="FFC000"/>
        </a:solidFill>
        <a:ln xmlns:a="http://schemas.openxmlformats.org/drawingml/2006/main">
          <a:solidFill>
            <a:srgbClr val="FFC000"/>
          </a:solidFill>
        </a:ln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anchor="ctr" anchorCtr="0"/>
        <a:lstStyle xmlns:a="http://schemas.openxmlformats.org/drawingml/2006/main">
          <a:lvl1pPr marL="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ctr"/>
          <a:r>
            <a:rPr lang="zh-CN" altLang="en-US" sz="1400" b="1"/>
            <a:t>加强</a:t>
          </a:r>
          <a:endParaRPr lang="zh-CN" sz="1400" b="1"/>
        </a:p>
      </cdr:txBody>
    </cdr:sp>
  </cdr:relSizeAnchor>
  <cdr:relSizeAnchor xmlns:cdr="http://schemas.openxmlformats.org/drawingml/2006/chartDrawing">
    <cdr:from>
      <cdr:x>0.57981</cdr:x>
      <cdr:y>0.59353</cdr:y>
    </cdr:from>
    <cdr:to>
      <cdr:x>0.63496</cdr:x>
      <cdr:y>0.76073</cdr:y>
    </cdr:to>
    <cdr:sp macro="" textlink="">
      <cdr:nvSpPr>
        <cdr:cNvPr id="7" name="文本框 1"/>
        <cdr:cNvSpPr txBox="1"/>
      </cdr:nvSpPr>
      <cdr:spPr>
        <a:xfrm xmlns:a="http://schemas.openxmlformats.org/drawingml/2006/main">
          <a:off x="3235553" y="2028812"/>
          <a:ext cx="307747" cy="571524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>
          <a:noFill/>
        </a:ln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zh-CN" altLang="en-US" sz="1100" b="1"/>
            <a:t>满足度</a:t>
          </a:r>
        </a:p>
      </cdr:txBody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 2007 - 2010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 2007 - 2010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 2007 - 2010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yongdong huang</dc:creator>
  <cp:keywords/>
  <dc:description/>
  <cp:lastModifiedBy>军亮 马</cp:lastModifiedBy>
  <cp:revision>5</cp:revision>
  <dcterms:created xsi:type="dcterms:W3CDTF">2026-04-08T07:30:00Z</dcterms:created>
  <dcterms:modified xsi:type="dcterms:W3CDTF">2026-04-08T07:53:00Z</dcterms:modified>
</cp:coreProperties>
</file>