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60E6" w14:textId="3CFC1DE0" w:rsidR="00890BD8" w:rsidRDefault="00213F94" w:rsidP="008442A5">
      <w:pPr>
        <w:jc w:val="center"/>
        <w:rPr>
          <w:rFonts w:hint="eastAsia"/>
        </w:rPr>
      </w:pPr>
      <w:r w:rsidRPr="008C3D38">
        <w:rPr>
          <w:rFonts w:hint="eastAsia"/>
          <w:noProof/>
        </w:rPr>
        <w:drawing>
          <wp:inline distT="0" distB="0" distL="0" distR="0" wp14:anchorId="2F12F8A3" wp14:editId="61AEE034">
            <wp:extent cx="5400675" cy="3156585"/>
            <wp:effectExtent l="0" t="0" r="0" b="5715"/>
            <wp:docPr id="103" name="图表 10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8A3E9" w14:textId="77777777" w:rsidR="001330E7" w:rsidRDefault="001330E7" w:rsidP="008442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0FB7EB" w14:textId="77777777" w:rsidR="001330E7" w:rsidRDefault="001330E7" w:rsidP="008442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17BFA" w14:textId="77777777" w:rsidR="001330E7" w:rsidRDefault="001330E7" w:rsidP="008442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FF70FE" w14:textId="77777777" w:rsidR="001330E7" w:rsidRDefault="001330E7" w:rsidP="008442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4D"/>
    <w:rsid w:val="000A5B44"/>
    <w:rsid w:val="001330E7"/>
    <w:rsid w:val="001E5B9D"/>
    <w:rsid w:val="00213F94"/>
    <w:rsid w:val="00265348"/>
    <w:rsid w:val="003224CA"/>
    <w:rsid w:val="005645D7"/>
    <w:rsid w:val="005A4241"/>
    <w:rsid w:val="006C6C50"/>
    <w:rsid w:val="007602D8"/>
    <w:rsid w:val="008442A5"/>
    <w:rsid w:val="00890BD8"/>
    <w:rsid w:val="008C6073"/>
    <w:rsid w:val="009A3E3C"/>
    <w:rsid w:val="00A11E4D"/>
    <w:rsid w:val="00AC45AF"/>
    <w:rsid w:val="00B80160"/>
    <w:rsid w:val="00D657B9"/>
    <w:rsid w:val="00D671CA"/>
    <w:rsid w:val="00E063EE"/>
    <w:rsid w:val="00E10C89"/>
    <w:rsid w:val="00F105BA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CFB68F-577B-41C0-B159-61CAC2DD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E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E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E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E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E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E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E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E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E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E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E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E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E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E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E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E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E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E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E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E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E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E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E4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42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42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42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42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.png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package" Target="../embeddings/Microsoft_Excel_Worksheet.xlsx"/><Relationship Id="rId4" Type="http://schemas.openxmlformats.org/officeDocument/2006/relationships/image" Target="../media/image2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93172282036174"/>
          <c:y val="3.1781918349315244E-3"/>
          <c:w val="0.66685700001785486"/>
          <c:h val="0.97835938985887605"/>
        </c:manualLayout>
      </c:layout>
      <c:barChart>
        <c:barDir val="bar"/>
        <c:grouping val="stack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辅助列</c:v>
                </c:pt>
              </c:strCache>
            </c:strRef>
          </c:tx>
          <c:spPr>
            <a:blipFill>
              <a:blip xmlns:r="http://schemas.openxmlformats.org/officeDocument/2006/relationships" r:embed="rId3"/>
              <a:stretch>
                <a:fillRect/>
              </a:stretch>
            </a:blip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886301C5-AF97-4C71-8E71-3656906E0405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0-2D15-433D-9AC9-83B3C4FBF884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77B01B06-339E-40E4-BE74-F9967416DDD4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1-2D15-433D-9AC9-83B3C4FBF884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86A9AE22-71C0-4160-AE32-A94D1E91418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2D15-433D-9AC9-83B3C4FBF884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E6BC84CD-13DA-469C-B2D3-32B993F7D8FE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2D15-433D-9AC9-83B3C4FBF884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BE077C81-9512-4FDF-A96A-23478403926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2D15-433D-9AC9-83B3C4FBF884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89739EE2-5C0E-4423-96B8-70B2FAB8870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2D15-433D-9AC9-83B3C4FBF884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C3206E76-C99F-411F-B04C-5F0A00D4EE9A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2D15-433D-9AC9-83B3C4FBF884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057659E0-9578-44A3-8B31-9CCF24B3F74B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2D15-433D-9AC9-83B3C4FBF884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13F41306-CB98-445F-A3E1-69A087B39EBC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2D15-433D-9AC9-83B3C4FBF884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908AEE75-FAFD-4B51-B35C-0D2390E77A27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2D15-433D-9AC9-83B3C4FBF884}"/>
                </c:ext>
              </c:extLst>
            </c:dLbl>
            <c:dLbl>
              <c:idx val="10"/>
              <c:tx>
                <c:rich>
                  <a:bodyPr/>
                  <a:lstStyle/>
                  <a:p>
                    <a:fld id="{A4B0D48A-B36F-45D0-94EB-642AFBF5052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A-2D15-433D-9AC9-83B3C4FBF884}"/>
                </c:ext>
              </c:extLst>
            </c:dLbl>
            <c:dLbl>
              <c:idx val="11"/>
              <c:tx>
                <c:rich>
                  <a:bodyPr/>
                  <a:lstStyle/>
                  <a:p>
                    <a:fld id="{E5AC435A-2DD8-4827-A0BF-053DD05B0BB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B-2D15-433D-9AC9-83B3C4FBF884}"/>
                </c:ext>
              </c:extLst>
            </c:dLbl>
            <c:dLbl>
              <c:idx val="12"/>
              <c:tx>
                <c:rich>
                  <a:bodyPr/>
                  <a:lstStyle/>
                  <a:p>
                    <a:fld id="{84A72B9C-9161-4C1F-82DE-47005B71BE0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C-2D15-433D-9AC9-83B3C4FBF884}"/>
                </c:ext>
              </c:extLst>
            </c:dLbl>
            <c:dLbl>
              <c:idx val="13"/>
              <c:tx>
                <c:rich>
                  <a:bodyPr/>
                  <a:lstStyle/>
                  <a:p>
                    <a:fld id="{C25873B6-B709-4B9A-8452-F329A22EE27C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D-2D15-433D-9AC9-83B3C4FBF884}"/>
                </c:ext>
              </c:extLst>
            </c:dLbl>
            <c:dLbl>
              <c:idx val="14"/>
              <c:tx>
                <c:rich>
                  <a:bodyPr/>
                  <a:lstStyle/>
                  <a:p>
                    <a:fld id="{64D8F297-AC25-4E8D-A3EC-96D21BF650D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E-2D15-433D-9AC9-83B3C4FBF884}"/>
                </c:ext>
              </c:extLst>
            </c:dLbl>
            <c:dLbl>
              <c:idx val="15"/>
              <c:tx>
                <c:rich>
                  <a:bodyPr/>
                  <a:lstStyle/>
                  <a:p>
                    <a:fld id="{93671B36-6104-418E-AFBC-BA57F060EA97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F-2D15-433D-9AC9-83B3C4FBF884}"/>
                </c:ext>
              </c:extLst>
            </c:dLbl>
            <c:dLbl>
              <c:idx val="16"/>
              <c:tx>
                <c:rich>
                  <a:bodyPr/>
                  <a:lstStyle/>
                  <a:p>
                    <a:fld id="{874ADA66-EA87-4423-878D-A05A99DF793F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0-2D15-433D-9AC9-83B3C4FBF884}"/>
                </c:ext>
              </c:extLst>
            </c:dLbl>
            <c:dLbl>
              <c:idx val="17"/>
              <c:tx>
                <c:rich>
                  <a:bodyPr/>
                  <a:lstStyle/>
                  <a:p>
                    <a:fld id="{CA721624-4425-4E4E-9DC7-797CEF3B8FED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1-2D15-433D-9AC9-83B3C4FBF884}"/>
                </c:ext>
              </c:extLst>
            </c:dLbl>
            <c:dLbl>
              <c:idx val="18"/>
              <c:tx>
                <c:rich>
                  <a:bodyPr/>
                  <a:lstStyle/>
                  <a:p>
                    <a:fld id="{9900CADD-64A5-4A1B-B797-91E10D639AAA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2-2D15-433D-9AC9-83B3C4FBF884}"/>
                </c:ext>
              </c:extLst>
            </c:dLbl>
            <c:dLbl>
              <c:idx val="19"/>
              <c:tx>
                <c:rich>
                  <a:bodyPr/>
                  <a:lstStyle/>
                  <a:p>
                    <a:fld id="{A9C267FF-1603-4E7F-865D-8EEC9CEF69E7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3-2D15-433D-9AC9-83B3C4FBF88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Sheet1!$A$2:$A$21</c:f>
              <c:strCache>
                <c:ptCount val="20"/>
                <c:pt idx="0">
                  <c:v>军队</c:v>
                </c:pt>
                <c:pt idx="1">
                  <c:v>住宿和餐饮业</c:v>
                </c:pt>
                <c:pt idx="2">
                  <c:v>采矿业</c:v>
                </c:pt>
                <c:pt idx="3">
                  <c:v>水利、环境和公共设施管理业</c:v>
                </c:pt>
                <c:pt idx="4">
                  <c:v>居民服务、修理和其他服务业</c:v>
                </c:pt>
                <c:pt idx="5">
                  <c:v>农、林、牧、渔业</c:v>
                </c:pt>
                <c:pt idx="6">
                  <c:v>房地产业</c:v>
                </c:pt>
                <c:pt idx="7">
                  <c:v>卫生和社会工作</c:v>
                </c:pt>
                <c:pt idx="8">
                  <c:v>电力、热力、燃气及水生产和供应业</c:v>
                </c:pt>
                <c:pt idx="9">
                  <c:v>批发和零售业</c:v>
                </c:pt>
                <c:pt idx="10">
                  <c:v>租赁和商务服务业</c:v>
                </c:pt>
                <c:pt idx="11">
                  <c:v>文化、体育和娱乐业</c:v>
                </c:pt>
                <c:pt idx="12">
                  <c:v>交通运输、仓储和邮政业</c:v>
                </c:pt>
                <c:pt idx="13">
                  <c:v>科学研究和技术服务业</c:v>
                </c:pt>
                <c:pt idx="14">
                  <c:v>建筑业</c:v>
                </c:pt>
                <c:pt idx="15">
                  <c:v>金融业</c:v>
                </c:pt>
                <c:pt idx="16">
                  <c:v>制造业</c:v>
                </c:pt>
                <c:pt idx="17">
                  <c:v>信息传输、软件和信息技术服务业</c:v>
                </c:pt>
                <c:pt idx="18">
                  <c:v>公共管理、社会保障和社会组织</c:v>
                </c:pt>
                <c:pt idx="19">
                  <c:v>教育</c:v>
                </c:pt>
              </c:strCache>
            </c:strRef>
          </c:cat>
          <c:val>
            <c:numRef>
              <c:f>Sheet1!$C$2:$C$21</c:f>
              <c:numCache>
                <c:formatCode>0.00%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Sheet1!$B$2:$B$21</c15:f>
                <c15:dlblRangeCache>
                  <c:ptCount val="20"/>
                  <c:pt idx="0">
                    <c:v>0.05%</c:v>
                  </c:pt>
                  <c:pt idx="1">
                    <c:v>0.05%</c:v>
                  </c:pt>
                  <c:pt idx="2">
                    <c:v>0.10%</c:v>
                  </c:pt>
                  <c:pt idx="3">
                    <c:v>0.23%</c:v>
                  </c:pt>
                  <c:pt idx="4">
                    <c:v>0.23%</c:v>
                  </c:pt>
                  <c:pt idx="5">
                    <c:v>0.24%</c:v>
                  </c:pt>
                  <c:pt idx="6">
                    <c:v>0.28%</c:v>
                  </c:pt>
                  <c:pt idx="7">
                    <c:v>0.42%</c:v>
                  </c:pt>
                  <c:pt idx="8">
                    <c:v>0.49%</c:v>
                  </c:pt>
                  <c:pt idx="9">
                    <c:v>0.72%</c:v>
                  </c:pt>
                  <c:pt idx="10">
                    <c:v>0.72%</c:v>
                  </c:pt>
                  <c:pt idx="11">
                    <c:v>0.80%</c:v>
                  </c:pt>
                  <c:pt idx="12">
                    <c:v>0.90%</c:v>
                  </c:pt>
                  <c:pt idx="13">
                    <c:v>1.47%</c:v>
                  </c:pt>
                  <c:pt idx="14">
                    <c:v>1.52%</c:v>
                  </c:pt>
                  <c:pt idx="15">
                    <c:v>3.41%</c:v>
                  </c:pt>
                  <c:pt idx="16">
                    <c:v>4.16%</c:v>
                  </c:pt>
                  <c:pt idx="17">
                    <c:v>4.83%</c:v>
                  </c:pt>
                  <c:pt idx="18">
                    <c:v>5.84%</c:v>
                  </c:pt>
                  <c:pt idx="19">
                    <c:v>73.54%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14-2D15-433D-9AC9-83B3C4FBF8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8"/>
        <c:overlap val="100"/>
        <c:axId val="1011252560"/>
        <c:axId val="1011258160"/>
      </c:barChar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pictureOptions>
            <c:pictureFormat val="stackScale"/>
          </c:pictureOptions>
          <c:cat>
            <c:strRef>
              <c:f>Sheet1!$A$2:$A$21</c:f>
              <c:strCache>
                <c:ptCount val="20"/>
                <c:pt idx="0">
                  <c:v>军队</c:v>
                </c:pt>
                <c:pt idx="1">
                  <c:v>住宿和餐饮业</c:v>
                </c:pt>
                <c:pt idx="2">
                  <c:v>采矿业</c:v>
                </c:pt>
                <c:pt idx="3">
                  <c:v>水利、环境和公共设施管理业</c:v>
                </c:pt>
                <c:pt idx="4">
                  <c:v>居民服务、修理和其他服务业</c:v>
                </c:pt>
                <c:pt idx="5">
                  <c:v>农、林、牧、渔业</c:v>
                </c:pt>
                <c:pt idx="6">
                  <c:v>房地产业</c:v>
                </c:pt>
                <c:pt idx="7">
                  <c:v>卫生和社会工作</c:v>
                </c:pt>
                <c:pt idx="8">
                  <c:v>电力、热力、燃气及水生产和供应业</c:v>
                </c:pt>
                <c:pt idx="9">
                  <c:v>批发和零售业</c:v>
                </c:pt>
                <c:pt idx="10">
                  <c:v>租赁和商务服务业</c:v>
                </c:pt>
                <c:pt idx="11">
                  <c:v>文化、体育和娱乐业</c:v>
                </c:pt>
                <c:pt idx="12">
                  <c:v>交通运输、仓储和邮政业</c:v>
                </c:pt>
                <c:pt idx="13">
                  <c:v>科学研究和技术服务业</c:v>
                </c:pt>
                <c:pt idx="14">
                  <c:v>建筑业</c:v>
                </c:pt>
                <c:pt idx="15">
                  <c:v>金融业</c:v>
                </c:pt>
                <c:pt idx="16">
                  <c:v>制造业</c:v>
                </c:pt>
                <c:pt idx="17">
                  <c:v>信息传输、软件和信息技术服务业</c:v>
                </c:pt>
                <c:pt idx="18">
                  <c:v>公共管理、社会保障和社会组织</c:v>
                </c:pt>
                <c:pt idx="19">
                  <c:v>教育</c:v>
                </c:pt>
              </c:strCache>
            </c:strRef>
          </c:cat>
          <c:val>
            <c:numRef>
              <c:f>Sheet1!$B$2:$B$21</c:f>
              <c:numCache>
                <c:formatCode>0.00%</c:formatCode>
                <c:ptCount val="20"/>
                <c:pt idx="0">
                  <c:v>4.8971596474045055E-4</c:v>
                </c:pt>
                <c:pt idx="1">
                  <c:v>4.8971596474045055E-4</c:v>
                </c:pt>
                <c:pt idx="2">
                  <c:v>9.7943192948090111E-4</c:v>
                </c:pt>
                <c:pt idx="3">
                  <c:v>2.2853411687887692E-3</c:v>
                </c:pt>
                <c:pt idx="4">
                  <c:v>2.2853411687887692E-3</c:v>
                </c:pt>
                <c:pt idx="5">
                  <c:v>2.4485798237022529E-3</c:v>
                </c:pt>
                <c:pt idx="6">
                  <c:v>2.7750571335292198E-3</c:v>
                </c:pt>
                <c:pt idx="7">
                  <c:v>4.244205027750571E-3</c:v>
                </c:pt>
                <c:pt idx="8">
                  <c:v>4.8971596474045058E-3</c:v>
                </c:pt>
                <c:pt idx="9">
                  <c:v>7.1825008161932749E-3</c:v>
                </c:pt>
                <c:pt idx="10">
                  <c:v>7.1825008161932749E-3</c:v>
                </c:pt>
                <c:pt idx="11">
                  <c:v>7.9986940907606913E-3</c:v>
                </c:pt>
                <c:pt idx="12">
                  <c:v>8.9781260202415926E-3</c:v>
                </c:pt>
                <c:pt idx="13">
                  <c:v>1.4691478942213516E-2</c:v>
                </c:pt>
                <c:pt idx="14">
                  <c:v>1.5181194906953967E-2</c:v>
                </c:pt>
                <c:pt idx="15">
                  <c:v>3.4116878876918055E-2</c:v>
                </c:pt>
                <c:pt idx="16">
                  <c:v>4.1625857002938298E-2</c:v>
                </c:pt>
                <c:pt idx="17">
                  <c:v>4.8318641854391123E-2</c:v>
                </c:pt>
                <c:pt idx="18">
                  <c:v>5.8439438459027097E-2</c:v>
                </c:pt>
                <c:pt idx="19">
                  <c:v>0.7353901403852432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2D15-433D-9AC9-83B3C4FBF8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8"/>
        <c:overlap val="100"/>
        <c:axId val="950238448"/>
        <c:axId val="950236480"/>
      </c:barChart>
      <c:catAx>
        <c:axId val="1011252560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high"/>
        <c:spPr>
          <a:noFill/>
          <a:ln w="9525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alpha val="80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11258160"/>
        <c:crossesAt val="1"/>
        <c:auto val="1"/>
        <c:lblAlgn val="ctr"/>
        <c:lblOffset val="100"/>
        <c:noMultiLvlLbl val="0"/>
      </c:catAx>
      <c:valAx>
        <c:axId val="1011258160"/>
        <c:scaling>
          <c:orientation val="minMax"/>
          <c:max val="1"/>
          <c:min val="0"/>
        </c:scaling>
        <c:delete val="1"/>
        <c:axPos val="b"/>
        <c:numFmt formatCode="0.00%" sourceLinked="1"/>
        <c:majorTickMark val="out"/>
        <c:minorTickMark val="none"/>
        <c:tickLblPos val="nextTo"/>
        <c:crossAx val="1011252560"/>
        <c:crosses val="autoZero"/>
        <c:crossBetween val="between"/>
        <c:majorUnit val="0.1"/>
        <c:minorUnit val="2.0000000000000004E-2"/>
      </c:valAx>
      <c:valAx>
        <c:axId val="950236480"/>
        <c:scaling>
          <c:orientation val="minMax"/>
        </c:scaling>
        <c:delete val="1"/>
        <c:axPos val="t"/>
        <c:numFmt formatCode="0.00%" sourceLinked="1"/>
        <c:majorTickMark val="out"/>
        <c:minorTickMark val="none"/>
        <c:tickLblPos val="nextTo"/>
        <c:crossAx val="950238448"/>
        <c:crosses val="max"/>
        <c:crossBetween val="between"/>
      </c:valAx>
      <c:catAx>
        <c:axId val="950238448"/>
        <c:scaling>
          <c:orientation val="minMax"/>
        </c:scaling>
        <c:delete val="1"/>
        <c:axPos val="r"/>
        <c:numFmt formatCode="General" sourceLinked="1"/>
        <c:majorTickMark val="out"/>
        <c:minorTickMark val="none"/>
        <c:tickLblPos val="nextTo"/>
        <c:crossAx val="950236480"/>
        <c:crosses val="max"/>
        <c:auto val="1"/>
        <c:lblAlgn val="ctr"/>
        <c:lblOffset val="100"/>
        <c:noMultiLvlLbl val="0"/>
      </c:cat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 algn="just">
        <a:defRPr lang="zh-CN"/>
      </a:pPr>
      <a:endParaRPr lang="zh-CN"/>
    </a:p>
  </c:txPr>
  <c:externalData r:id="rId5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9</cp:revision>
  <dcterms:created xsi:type="dcterms:W3CDTF">2025-06-04T02:21:00Z</dcterms:created>
  <dcterms:modified xsi:type="dcterms:W3CDTF">2026-04-02T06:51:00Z</dcterms:modified>
</cp:coreProperties>
</file>