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A081" w14:textId="3C10227B" w:rsidR="00890BD8" w:rsidRDefault="00207C8E" w:rsidP="00207C8E">
      <w:pPr>
        <w:jc w:val="center"/>
        <w:rPr>
          <w:rFonts w:hint="eastAsia"/>
        </w:rPr>
      </w:pPr>
      <w:r w:rsidRPr="008C3D38">
        <w:rPr>
          <w:rFonts w:hint="eastAsia"/>
          <w:noProof/>
        </w:rPr>
        <w:drawing>
          <wp:inline distT="0" distB="0" distL="0" distR="0" wp14:anchorId="5207A8F7" wp14:editId="0659D7F1">
            <wp:extent cx="5472000" cy="2011045"/>
            <wp:effectExtent l="0" t="0" r="0" b="8255"/>
            <wp:docPr id="11" name="图表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4942" w14:textId="77777777" w:rsidR="00813CE9" w:rsidRDefault="00813CE9" w:rsidP="00207C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2774B10" w14:textId="77777777" w:rsidR="00813CE9" w:rsidRDefault="00813CE9" w:rsidP="00207C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94C9" w14:textId="77777777" w:rsidR="00813CE9" w:rsidRDefault="00813CE9" w:rsidP="00207C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570941" w14:textId="77777777" w:rsidR="00813CE9" w:rsidRDefault="00813CE9" w:rsidP="00207C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C1B"/>
    <w:rsid w:val="00004888"/>
    <w:rsid w:val="000A5B44"/>
    <w:rsid w:val="00153749"/>
    <w:rsid w:val="001A5283"/>
    <w:rsid w:val="00207C8E"/>
    <w:rsid w:val="00265348"/>
    <w:rsid w:val="00437DE5"/>
    <w:rsid w:val="00504145"/>
    <w:rsid w:val="005B55DA"/>
    <w:rsid w:val="007602D8"/>
    <w:rsid w:val="00760D91"/>
    <w:rsid w:val="007B7F0C"/>
    <w:rsid w:val="007C7266"/>
    <w:rsid w:val="00813CE9"/>
    <w:rsid w:val="0087484C"/>
    <w:rsid w:val="00890BD8"/>
    <w:rsid w:val="008D1BDF"/>
    <w:rsid w:val="00984D39"/>
    <w:rsid w:val="00A645A9"/>
    <w:rsid w:val="00A73D08"/>
    <w:rsid w:val="00B51D59"/>
    <w:rsid w:val="00B622B2"/>
    <w:rsid w:val="00B80160"/>
    <w:rsid w:val="00C13C1B"/>
    <w:rsid w:val="00E10C89"/>
    <w:rsid w:val="00F1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BF13B5F-3DA3-43D2-95EA-2F077131A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3C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C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C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C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C1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C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C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C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C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C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C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C1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C1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3C1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C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C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C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C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C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C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C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C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C1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C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C1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3C1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C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C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33266205932891479"/>
          <c:y val="0.11854553558163719"/>
          <c:w val="0.33609414830340451"/>
          <c:h val="0.88145446441836284"/>
        </c:manualLayout>
      </c:layout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chemeClr val="accent2">
                  <a:lumMod val="20000"/>
                  <a:lumOff val="80000"/>
                  <a:alpha val="5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E1C-4201-AD19-D994D2381E80}"/>
              </c:ext>
            </c:extLst>
          </c:dPt>
          <c:dPt>
            <c:idx val="1"/>
            <c:bubble3D val="0"/>
            <c:spPr>
              <a:solidFill>
                <a:schemeClr val="accent4">
                  <a:lumMod val="40000"/>
                  <a:lumOff val="60000"/>
                  <a:alpha val="50000"/>
                </a:schemeClr>
              </a:solidFill>
              <a:ln w="19050">
                <a:solidFill>
                  <a:schemeClr val="bg1">
                    <a:alpha val="15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E1C-4201-AD19-D994D2381E80}"/>
              </c:ext>
            </c:extLst>
          </c:dPt>
          <c:dPt>
            <c:idx val="2"/>
            <c:bubble3D val="0"/>
            <c:spPr>
              <a:solidFill>
                <a:schemeClr val="accent6">
                  <a:lumMod val="40000"/>
                  <a:lumOff val="60000"/>
                  <a:alpha val="70000"/>
                </a:schemeClr>
              </a:solidFill>
              <a:ln w="19050">
                <a:solidFill>
                  <a:schemeClr val="bg1">
                    <a:alpha val="80000"/>
                  </a:schemeClr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E1C-4201-AD19-D994D2381E80}"/>
              </c:ext>
            </c:extLst>
          </c:dPt>
          <c:dPt>
            <c:idx val="3"/>
            <c:bubble3D val="0"/>
            <c:spPr>
              <a:solidFill>
                <a:schemeClr val="accent5">
                  <a:lumMod val="40000"/>
                  <a:lumOff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E1C-4201-AD19-D994D2381E80}"/>
              </c:ext>
            </c:extLst>
          </c:dPt>
          <c:dPt>
            <c:idx val="4"/>
            <c:bubble3D val="0"/>
            <c:spPr>
              <a:solidFill>
                <a:schemeClr val="accent4">
                  <a:lumMod val="40000"/>
                  <a:lumOff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E1C-4201-AD19-D994D2381E80}"/>
              </c:ext>
            </c:extLst>
          </c:dPt>
          <c:dLbls>
            <c:dLbl>
              <c:idx val="0"/>
              <c:layout>
                <c:manualLayout>
                  <c:x val="2.1582733812949641E-2"/>
                  <c:y val="0.13666369533996925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1E1C-4201-AD19-D994D2381E80}"/>
                </c:ext>
              </c:extLst>
            </c:dLbl>
            <c:dLbl>
              <c:idx val="1"/>
              <c:layout>
                <c:manualLayout>
                  <c:x val="1.4388489208633072E-2"/>
                  <c:y val="-2.387361957113851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1E1C-4201-AD19-D994D2381E80}"/>
                </c:ext>
              </c:extLst>
            </c:dLbl>
            <c:dLbl>
              <c:idx val="2"/>
              <c:layout>
                <c:manualLayout>
                  <c:x val="-1.9184652278177457E-2"/>
                  <c:y val="8.8827811617887387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1E1C-4201-AD19-D994D2381E80}"/>
                </c:ext>
              </c:extLst>
            </c:dLbl>
            <c:dLbl>
              <c:idx val="3"/>
              <c:layout>
                <c:manualLayout>
                  <c:x val="7.1942446043165029E-3"/>
                  <c:y val="9.6132323082256232E-3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1E1C-4201-AD19-D994D2381E80}"/>
                </c:ext>
              </c:extLst>
            </c:dLbl>
            <c:dLbl>
              <c:idx val="4"/>
              <c:layout>
                <c:manualLayout>
                  <c:x val="8.3932853717026384E-2"/>
                  <c:y val="-6.2893081761006449E-3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1E1C-4201-AD19-D994D2381E8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很相关</c:v>
                </c:pt>
                <c:pt idx="1">
                  <c:v>比较相关</c:v>
                </c:pt>
                <c:pt idx="2">
                  <c:v>一般</c:v>
                </c:pt>
                <c:pt idx="3">
                  <c:v>比较不相关</c:v>
                </c:pt>
                <c:pt idx="4">
                  <c:v>很不相关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0.50970000000000004</c:v>
                </c:pt>
                <c:pt idx="1">
                  <c:v>0.30380000000000001</c:v>
                </c:pt>
                <c:pt idx="2">
                  <c:v>0.111</c:v>
                </c:pt>
                <c:pt idx="3">
                  <c:v>5.21E-2</c:v>
                </c:pt>
                <c:pt idx="4">
                  <c:v>2.35E-2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1E1C-4201-AD19-D994D2381E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doughnutChart>
        <c:varyColors val="1"/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ln w="19050">
              <a:solidFill>
                <a:schemeClr val="bg1"/>
              </a:solidFill>
            </a:ln>
          </c:spPr>
          <c:dPt>
            <c:idx val="0"/>
            <c:bubble3D val="0"/>
            <c:spPr>
              <a:solidFill>
                <a:schemeClr val="accent3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1E1C-4201-AD19-D994D2381E80}"/>
              </c:ext>
            </c:extLst>
          </c:dPt>
          <c:dPt>
            <c:idx val="1"/>
            <c:bubble3D val="0"/>
            <c:spPr>
              <a:solidFill>
                <a:schemeClr val="accent2">
                  <a:alpha val="8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1E1C-4201-AD19-D994D2381E80}"/>
              </c:ext>
            </c:extLst>
          </c:dPt>
          <c:dPt>
            <c:idx val="2"/>
            <c:bubble3D val="0"/>
            <c:spPr>
              <a:solidFill>
                <a:srgbClr val="FFC00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1E1C-4201-AD19-D994D2381E80}"/>
              </c:ext>
            </c:extLst>
          </c:dPt>
          <c:dPt>
            <c:idx val="3"/>
            <c:bubble3D val="0"/>
            <c:spPr>
              <a:solidFill>
                <a:srgbClr val="92D050"/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1E1C-4201-AD19-D994D2381E80}"/>
              </c:ext>
            </c:extLst>
          </c:dPt>
          <c:dPt>
            <c:idx val="4"/>
            <c:bubble3D val="0"/>
            <c:spPr>
              <a:solidFill>
                <a:schemeClr val="accent4">
                  <a:lumMod val="60000"/>
                </a:schemeClr>
              </a:solidFill>
              <a:ln w="19050">
                <a:solidFill>
                  <a:schemeClr val="bg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6-1E1C-4201-AD19-D994D2381E80}"/>
              </c:ext>
            </c:extLst>
          </c:dPt>
          <c:cat>
            <c:strRef>
              <c:f>Sheet1!$A$2:$A$6</c:f>
              <c:strCache>
                <c:ptCount val="5"/>
                <c:pt idx="0">
                  <c:v>很相关</c:v>
                </c:pt>
                <c:pt idx="1">
                  <c:v>比较相关</c:v>
                </c:pt>
                <c:pt idx="2">
                  <c:v>一般</c:v>
                </c:pt>
                <c:pt idx="3">
                  <c:v>比较不相关</c:v>
                </c:pt>
                <c:pt idx="4">
                  <c:v>很不相关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0.50970000000000004</c:v>
                </c:pt>
                <c:pt idx="1">
                  <c:v>0.30380000000000001</c:v>
                </c:pt>
                <c:pt idx="2">
                  <c:v>0.111</c:v>
                </c:pt>
                <c:pt idx="3">
                  <c:v>5.21E-2</c:v>
                </c:pt>
                <c:pt idx="4">
                  <c:v>2.35E-2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7-1E1C-4201-AD19-D994D2381E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8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6350" cap="flat" cmpd="sng" algn="ctr">
      <a:noFill/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">
  <cs:axisTitle>
    <cs:lnRef idx="0"/>
    <cs:fillRef idx="0"/>
    <cs:effectRef idx="0"/>
    <cs:fontRef idx="minor">
      <a:schemeClr val="tx1"/>
    </cs:fontRef>
    <cs:defRPr sz="1000" b="1" kern="1200"/>
  </cs:axisTitle>
  <cs:category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categoryAxis>
  <cs:chartArea mods="allowNoFillOverride allowNoLineOverride">
    <cs:lnRef idx="1">
      <a:schemeClr val="tx1">
        <a:tint val="75000"/>
      </a:schemeClr>
    </cs:lnRef>
    <cs:fillRef idx="1">
      <a:schemeClr val="bg1"/>
    </cs:fillRef>
    <cs:effectRef idx="0"/>
    <cs:fontRef idx="minor">
      <a:schemeClr val="tx1"/>
    </cs:fontRef>
    <cs:spPr>
      <a:ln>
        <a:round/>
      </a:ln>
    </cs:spPr>
    <cs:defRPr sz="1000" kern="1200"/>
  </cs:chartArea>
  <cs:dataLabel>
    <cs:lnRef idx="0"/>
    <cs:fillRef idx="0"/>
    <cs:effectRef idx="0"/>
    <cs:fontRef idx="minor">
      <a:schemeClr val="tx1"/>
    </cs:fontRef>
    <cs:defRPr sz="1000" kern="1200"/>
  </cs:dataLabel>
  <cs:dataLabelCallout>
    <cs:lnRef idx="0"/>
    <cs:fillRef idx="0"/>
    <cs:effectRef idx="0"/>
    <cs:fontRef idx="minor">
      <a:schemeClr val="dk1"/>
    </cs:fontRef>
    <cs:spPr>
      <a:solidFill>
        <a:schemeClr val="lt1"/>
      </a:solidFill>
      <a:ln>
        <a:solidFill>
          <a:schemeClr val="dk1">
            <a:lumMod val="65000"/>
            <a:lumOff val="35000"/>
          </a:schemeClr>
        </a:solidFill>
      </a:ln>
    </cs:spPr>
    <cs:defRPr sz="1000" kern="1200"/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1">
      <cs:styleClr val="auto"/>
    </cs:lnRef>
    <cs:lineWidthScale>3</cs:lineWidthScale>
    <cs:fillRef idx="0"/>
    <cs:effectRef idx="0"/>
    <cs:fontRef idx="minor">
      <a:schemeClr val="tx1"/>
    </cs:fontRef>
    <cs:spPr>
      <a:ln cap="rnd">
        <a:round/>
      </a:ln>
    </cs:spPr>
  </cs:dataPointLine>
  <cs:dataPointMarker>
    <cs:lnRef idx="1">
      <cs:styleClr val="auto"/>
    </cs:lnRef>
    <cs:fillRef idx="1">
      <cs:styleClr val="auto"/>
    </cs:fillRef>
    <cs:effectRef idx="0"/>
    <cs:fontRef idx="minor">
      <a:schemeClr val="tx1"/>
    </cs:fontRef>
    <cs:spPr>
      <a:ln>
        <a:round/>
      </a:ln>
    </cs:spPr>
  </cs:dataPointMarker>
  <cs:dataPointMarkerLayout/>
  <cs:dataPointWireframe>
    <cs:lnRef idx="1">
      <cs:styleClr val="auto"/>
    </cs:lnRef>
    <cs:fillRef idx="0"/>
    <cs:effectRef idx="0"/>
    <cs:fontRef idx="minor">
      <a:schemeClr val="tx1"/>
    </cs:fontRef>
    <cs:spPr>
      <a:ln>
        <a:round/>
      </a:ln>
    </cs:spPr>
  </cs:dataPointWireframe>
  <cs:dataTable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dataTable>
  <cs:downBar>
    <cs:lnRef idx="1">
      <a:schemeClr val="tx1"/>
    </cs:lnRef>
    <cs:fillRef idx="1">
      <a:schemeClr val="dk1">
        <a:tint val="95000"/>
      </a:schemeClr>
    </cs:fillRef>
    <cs:effectRef idx="0"/>
    <cs:fontRef idx="minor">
      <a:schemeClr val="tx1"/>
    </cs:fontRef>
    <cs:spPr>
      <a:ln>
        <a:round/>
      </a:ln>
    </cs:spPr>
  </cs:downBar>
  <cs:drop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dropLine>
  <cs:errorBar>
    <cs:lnRef idx="1">
      <a:schemeClr val="tx1"/>
    </cs:lnRef>
    <cs:fillRef idx="1">
      <a:schemeClr val="tx1"/>
    </cs:fillRef>
    <cs:effectRef idx="0"/>
    <cs:fontRef idx="minor">
      <a:schemeClr val="tx1"/>
    </cs:fontRef>
    <cs:spPr>
      <a:ln>
        <a:round/>
      </a:ln>
    </cs:spPr>
  </cs:errorBar>
  <cs:flo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floor>
  <cs:gridlineMajor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</cs:gridlineMajor>
  <cs:gridlineMinor>
    <cs:lnRef idx="1">
      <a:schemeClr val="tx1">
        <a:tint val="50000"/>
      </a:schemeClr>
    </cs:lnRef>
    <cs:fillRef idx="0"/>
    <cs:effectRef idx="0"/>
    <cs:fontRef idx="minor">
      <a:schemeClr val="tx1"/>
    </cs:fontRef>
    <cs:spPr>
      <a:ln>
        <a:round/>
      </a:ln>
    </cs:spPr>
  </cs:gridlineMinor>
  <cs:hiLo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hiLoLine>
  <cs:leader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leaderLine>
  <cs:legend>
    <cs:lnRef idx="0"/>
    <cs:fillRef idx="0"/>
    <cs:effectRef idx="0"/>
    <cs:fontRef idx="minor">
      <a:schemeClr val="tx1"/>
    </cs:fontRef>
    <cs:defRPr sz="1000" kern="1200"/>
  </cs:legend>
  <cs:plotArea mods="allowNoFillOverride allowNoLineOverride">
    <cs:lnRef idx="0"/>
    <cs:fillRef idx="1">
      <a:schemeClr val="bg1"/>
    </cs:fillRef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seriesAxis>
  <cs:seriesLine>
    <cs:lnRef idx="1">
      <a:schemeClr val="tx1"/>
    </cs:lnRef>
    <cs:fillRef idx="0"/>
    <cs:effectRef idx="0"/>
    <cs:fontRef idx="minor">
      <a:schemeClr val="tx1"/>
    </cs:fontRef>
    <cs:spPr>
      <a:ln>
        <a:round/>
      </a:ln>
    </cs:spPr>
  </cs:seriesLine>
  <cs:title>
    <cs:lnRef idx="0"/>
    <cs:fillRef idx="0"/>
    <cs:effectRef idx="0"/>
    <cs:fontRef idx="minor">
      <a:schemeClr val="tx1"/>
    </cs:fontRef>
    <cs:defRPr sz="1800" b="1" kern="1200"/>
  </cs:title>
  <cs:trendline>
    <cs:lnRef idx="1">
      <a:schemeClr val="tx1"/>
    </cs:lnRef>
    <cs:fillRef idx="0"/>
    <cs:effectRef idx="0"/>
    <cs:fontRef idx="minor">
      <a:schemeClr val="tx1"/>
    </cs:fontRef>
    <cs:spPr>
      <a:ln cap="rnd">
        <a:round/>
      </a:ln>
    </cs:spPr>
  </cs:trendline>
  <cs:trendlineLabel>
    <cs:lnRef idx="0"/>
    <cs:fillRef idx="0"/>
    <cs:effectRef idx="0"/>
    <cs:fontRef idx="minor">
      <a:schemeClr val="tx1"/>
    </cs:fontRef>
    <cs:defRPr sz="1000" kern="1200"/>
  </cs:trendlineLabel>
  <cs:upBar>
    <cs:lnRef idx="1">
      <a:schemeClr val="tx1"/>
    </cs:lnRef>
    <cs:fillRef idx="1">
      <a:schemeClr val="dk1">
        <a:tint val="5000"/>
      </a:schemeClr>
    </cs:fillRef>
    <cs:effectRef idx="0"/>
    <cs:fontRef idx="minor">
      <a:schemeClr val="tx1"/>
    </cs:fontRef>
    <cs:spPr>
      <a:ln>
        <a:round/>
      </a:ln>
    </cs:spPr>
  </cs:upBar>
  <cs:valueAxis>
    <cs:lnRef idx="1">
      <a:schemeClr val="tx1">
        <a:tint val="75000"/>
      </a:schemeClr>
    </cs:lnRef>
    <cs:fillRef idx="0"/>
    <cs:effectRef idx="0"/>
    <cs:fontRef idx="minor">
      <a:schemeClr val="tx1"/>
    </cs:fontRef>
    <cs:spPr>
      <a:ln>
        <a:round/>
      </a:ln>
    </cs:spPr>
    <cs:defRPr sz="10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12</cp:revision>
  <dcterms:created xsi:type="dcterms:W3CDTF">2025-06-04T05:55:00Z</dcterms:created>
  <dcterms:modified xsi:type="dcterms:W3CDTF">2025-07-18T02:32:00Z</dcterms:modified>
</cp:coreProperties>
</file>