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gif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theme/themeOverride1.xml" ContentType="application/vnd.openxmlformats-officedocument.themeOverride+xml"/>
  <Override PartName="/word/drawings/drawing1.xml" ContentType="application/vnd.openxmlformats-officedocument.drawingml.chartshap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E0045" w14:textId="3081E010" w:rsidR="00890BD8" w:rsidRDefault="00B517CF" w:rsidP="00AB0639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17D8F19" wp14:editId="6FF79D32">
            <wp:extent cx="5472000" cy="3298190"/>
            <wp:effectExtent l="0" t="0" r="0" b="0"/>
            <wp:docPr id="249647896" name="图表 1" title="{{title}}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sectPr w:rsidR="00890BD8" w:rsidSect="000A5B44">
      <w:pgSz w:w="11907" w:h="15592"/>
      <w:pgMar w:top="1418" w:right="1418" w:bottom="1418" w:left="1701" w:header="680" w:footer="992" w:gutter="0"/>
      <w:cols w:space="425"/>
      <w:docGrid w:type="linesAndChars" w:linePitch="326" w:charSpace="3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965B23" w14:textId="77777777" w:rsidR="00BB3942" w:rsidRDefault="00BB3942" w:rsidP="00AB557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BD67B65" w14:textId="77777777" w:rsidR="00BB3942" w:rsidRDefault="00BB3942" w:rsidP="00AB557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7B9E3F" w14:textId="77777777" w:rsidR="00BB3942" w:rsidRDefault="00BB3942" w:rsidP="00AB557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02890BF" w14:textId="77777777" w:rsidR="00BB3942" w:rsidRDefault="00BB3942" w:rsidP="00AB557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2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031"/>
    <w:rsid w:val="00054F0D"/>
    <w:rsid w:val="000A5B44"/>
    <w:rsid w:val="000B673D"/>
    <w:rsid w:val="00233A28"/>
    <w:rsid w:val="00260A44"/>
    <w:rsid w:val="00265348"/>
    <w:rsid w:val="002A2E43"/>
    <w:rsid w:val="002F063D"/>
    <w:rsid w:val="0044784D"/>
    <w:rsid w:val="005E2AFC"/>
    <w:rsid w:val="007602D8"/>
    <w:rsid w:val="007A4056"/>
    <w:rsid w:val="008555A6"/>
    <w:rsid w:val="00890BD8"/>
    <w:rsid w:val="008B2456"/>
    <w:rsid w:val="00986F16"/>
    <w:rsid w:val="009874DD"/>
    <w:rsid w:val="00A408D9"/>
    <w:rsid w:val="00AB0639"/>
    <w:rsid w:val="00AB5576"/>
    <w:rsid w:val="00AD114E"/>
    <w:rsid w:val="00B517CF"/>
    <w:rsid w:val="00B80160"/>
    <w:rsid w:val="00BB3942"/>
    <w:rsid w:val="00C272C6"/>
    <w:rsid w:val="00C34EC3"/>
    <w:rsid w:val="00C62A9C"/>
    <w:rsid w:val="00CC4AF6"/>
    <w:rsid w:val="00D53D09"/>
    <w:rsid w:val="00DC2031"/>
    <w:rsid w:val="00E10C89"/>
    <w:rsid w:val="00E90E25"/>
    <w:rsid w:val="00EB4D1C"/>
    <w:rsid w:val="00FC1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8ACD492-4C5E-4568-AF2A-88BE81064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C203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20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203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203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203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203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203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203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203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C203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C20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C20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C203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C203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C203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C203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C203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C203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C203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C20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203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C203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C20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C203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C203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C203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C20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C203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C203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B557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B557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B557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B557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chartUserShapes" Target="../drawings/drawing1.xml"/><Relationship Id="rId2" Type="http://schemas.openxmlformats.org/officeDocument/2006/relationships/package" Target="../embeddings/Microsoft_Excel_Worksheet.xlsx"/><Relationship Id="rId1" Type="http://schemas.openxmlformats.org/officeDocument/2006/relationships/themeOverride" Target="../theme/themeOverrid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tlCol="0" anchor="t"/>
          <a:lstStyle/>
          <a:p>
            <a:pPr algn="l">
              <a:defRPr/>
            </a:pPr>
            <a:endParaRPr lang="en-US" sz="1100"/>
          </a:p>
        </c:rich>
      </c:tx>
      <c:overlay val="0"/>
    </c:title>
    <c:autoTitleDeleted val="0"/>
    <c:plotArea>
      <c:layout>
        <c:manualLayout>
          <c:layoutTarget val="inner"/>
          <c:xMode val="edge"/>
          <c:yMode val="edge"/>
          <c:x val="0.26872316555019327"/>
          <c:y val="1.09143058148659E-2"/>
          <c:w val="0.73127683444980685"/>
          <c:h val="0.98691387144888798"/>
        </c:manualLayout>
      </c:layout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均值</c:v>
                </c:pt>
              </c:strCache>
            </c:strRef>
          </c:tx>
          <c:spPr>
            <a:solidFill>
              <a:srgbClr val="0F6FC6"/>
            </a:solidFill>
            <a:ln>
              <a:noFill/>
            </a:ln>
            <a:effectLst/>
          </c:spPr>
          <c:invertIfNegative val="0"/>
          <c:dPt>
            <c:idx val="3"/>
            <c:invertIfNegative val="0"/>
            <c:bubble3D val="0"/>
            <c:spPr>
              <a:solidFill>
                <a:srgbClr val="0070C0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13-81EC-40CF-B7B1-AFB35FFE0CF0}"/>
              </c:ext>
            </c:extLst>
          </c:dPt>
          <c:dPt>
            <c:idx val="8"/>
            <c:invertIfNegative val="0"/>
            <c:bubble3D val="0"/>
            <c:spPr>
              <a:solidFill>
                <a:srgbClr val="FFC000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1-3AE6-4C06-95C6-06BEAE846053}"/>
              </c:ext>
            </c:extLst>
          </c:dPt>
          <c:dPt>
            <c:idx val="9"/>
            <c:invertIfNegative val="0"/>
            <c:bubble3D val="0"/>
            <c:spPr>
              <a:solidFill>
                <a:srgbClr val="FFC000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3-3AE6-4C06-95C6-06BEAE846053}"/>
              </c:ext>
            </c:extLst>
          </c:dPt>
          <c:dPt>
            <c:idx val="10"/>
            <c:invertIfNegative val="0"/>
            <c:bubble3D val="0"/>
            <c:spPr>
              <a:solidFill>
                <a:srgbClr val="FFC000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5-3AE6-4C06-95C6-06BEAE846053}"/>
              </c:ext>
            </c:extLst>
          </c:dPt>
          <c:dPt>
            <c:idx val="11"/>
            <c:invertIfNegative val="0"/>
            <c:bubble3D val="0"/>
            <c:spPr>
              <a:solidFill>
                <a:srgbClr val="FFC000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7-3AE6-4C06-95C6-06BEAE846053}"/>
              </c:ext>
            </c:extLst>
          </c:dPt>
          <c:dPt>
            <c:idx val="12"/>
            <c:invertIfNegative val="0"/>
            <c:bubble3D val="0"/>
            <c:spPr>
              <a:solidFill>
                <a:srgbClr val="0BD0D9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9-3AE6-4C06-95C6-06BEAE846053}"/>
              </c:ext>
            </c:extLst>
          </c:dPt>
          <c:dPt>
            <c:idx val="13"/>
            <c:invertIfNegative val="0"/>
            <c:bubble3D val="0"/>
            <c:spPr>
              <a:solidFill>
                <a:srgbClr val="0BD0D9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B-3AE6-4C06-95C6-06BEAE846053}"/>
              </c:ext>
            </c:extLst>
          </c:dPt>
          <c:dPt>
            <c:idx val="14"/>
            <c:invertIfNegative val="0"/>
            <c:bubble3D val="0"/>
            <c:spPr>
              <a:solidFill>
                <a:srgbClr val="0BD0D9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D-3AE6-4C06-95C6-06BEAE846053}"/>
              </c:ext>
            </c:extLst>
          </c:dPt>
          <c:dPt>
            <c:idx val="15"/>
            <c:invertIfNegative val="0"/>
            <c:bubble3D val="0"/>
            <c:spPr>
              <a:solidFill>
                <a:srgbClr val="10CF9B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F-3AE6-4C06-95C6-06BEAE846053}"/>
              </c:ext>
            </c:extLst>
          </c:dPt>
          <c:dPt>
            <c:idx val="16"/>
            <c:invertIfNegative val="0"/>
            <c:bubble3D val="0"/>
            <c:spPr>
              <a:solidFill>
                <a:srgbClr val="10CF9B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11-3AE6-4C06-95C6-06BEAE846053}"/>
              </c:ext>
            </c:extLst>
          </c:dPt>
          <c:dLbls>
            <c:dLbl>
              <c:idx val="12"/>
              <c:spPr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/>
                <a:lstStyle/>
                <a:p>
                  <a:pPr>
                    <a:defRPr lang="zh-CN" sz="900" b="0" i="0" u="none" strike="noStrike" kern="1200" baseline="0">
                      <a:solidFill>
                        <a:sysClr val="windowText" lastClr="000000"/>
                      </a:solidFill>
                      <a:latin typeface="Times New Roman" panose="02020603050405020304" charset="0"/>
                      <a:ea typeface="宋体" panose="02010600030101010101" charset="-122"/>
                      <a:cs typeface="+mn-cs"/>
                    </a:defRPr>
                  </a:pPr>
                  <a:endParaRPr lang="zh-CN"/>
                </a:p>
              </c:txPr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6="http://schemas.microsoft.com/office/drawing/2014/chart" uri="{C3380CC4-5D6E-409C-BE32-E72D297353CC}">
                  <c16:uniqueId val="{00000009-3AE6-4C06-95C6-06BEAE846053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/>
              <a:lstStyle/>
              <a:p>
                <a:pPr>
                  <a:defRPr lang="zh-CN" sz="900" b="0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charset="0"/>
                    <a:ea typeface="宋体" panose="02010600030101010101" charset="-122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Sheet1!$A$2:$A$18</c:f>
              <c:strCache>
                <c:ptCount val="17"/>
                <c:pt idx="0">
                  <c:v>外语应用能力</c:v>
                </c:pt>
                <c:pt idx="1">
                  <c:v>信息技术应用能力</c:v>
                </c:pt>
                <c:pt idx="2">
                  <c:v>组织协调与管理能力</c:v>
                </c:pt>
                <c:pt idx="3">
                  <c:v>口头与书面表达能力</c:v>
                </c:pt>
                <c:pt idx="4">
                  <c:v>实践与执行能力</c:v>
                </c:pt>
                <c:pt idx="5">
                  <c:v>人际沟通与协作能力</c:v>
                </c:pt>
                <c:pt idx="6">
                  <c:v>研究分析与问题解决能力</c:v>
                </c:pt>
                <c:pt idx="7">
                  <c:v>信息获取与使用能力</c:v>
                </c:pt>
                <c:pt idx="8">
                  <c:v>创新思维</c:v>
                </c:pt>
                <c:pt idx="9">
                  <c:v>跨学科思维</c:v>
                </c:pt>
                <c:pt idx="10">
                  <c:v>批判性思维</c:v>
                </c:pt>
                <c:pt idx="11">
                  <c:v>自主学习</c:v>
                </c:pt>
                <c:pt idx="12">
                  <c:v>职业规划能力</c:v>
                </c:pt>
                <c:pt idx="13">
                  <c:v>应对压力和挫折能力</c:v>
                </c:pt>
                <c:pt idx="14">
                  <c:v>环境适应能力</c:v>
                </c:pt>
                <c:pt idx="15">
                  <c:v>专业知识技能水平</c:v>
                </c:pt>
                <c:pt idx="16">
                  <c:v>可迁移能力水平</c:v>
                </c:pt>
              </c:strCache>
            </c:strRef>
          </c:cat>
          <c:val>
            <c:numRef>
              <c:f>Sheet1!$B$2:$B$18</c:f>
              <c:numCache>
                <c:formatCode>0.00_ </c:formatCode>
                <c:ptCount val="17"/>
                <c:pt idx="0">
                  <c:v>3.56</c:v>
                </c:pt>
                <c:pt idx="1">
                  <c:v>3.77</c:v>
                </c:pt>
                <c:pt idx="2">
                  <c:v>3.84</c:v>
                </c:pt>
                <c:pt idx="3">
                  <c:v>3.86</c:v>
                </c:pt>
                <c:pt idx="4">
                  <c:v>3.9</c:v>
                </c:pt>
                <c:pt idx="5">
                  <c:v>3.92</c:v>
                </c:pt>
                <c:pt idx="6">
                  <c:v>3.93</c:v>
                </c:pt>
                <c:pt idx="7">
                  <c:v>3.95</c:v>
                </c:pt>
                <c:pt idx="8">
                  <c:v>3.7</c:v>
                </c:pt>
                <c:pt idx="9">
                  <c:v>3.75</c:v>
                </c:pt>
                <c:pt idx="10">
                  <c:v>3.87</c:v>
                </c:pt>
                <c:pt idx="11">
                  <c:v>4.03</c:v>
                </c:pt>
                <c:pt idx="12">
                  <c:v>3.55</c:v>
                </c:pt>
                <c:pt idx="13">
                  <c:v>3.97</c:v>
                </c:pt>
                <c:pt idx="14">
                  <c:v>4</c:v>
                </c:pt>
                <c:pt idx="15">
                  <c:v>3.88</c:v>
                </c:pt>
                <c:pt idx="16">
                  <c:v>3.89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12-3AE6-4C06-95C6-06BEAE84605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76"/>
        <c:overlap val="-1"/>
        <c:axId val="-1819578352"/>
        <c:axId val="-1819573808"/>
      </c:barChart>
      <c:catAx>
        <c:axId val="-1819578352"/>
        <c:scaling>
          <c:orientation val="minMax"/>
        </c:scaling>
        <c:delete val="0"/>
        <c:axPos val="l"/>
        <c:numFmt formatCode="General" sourceLinked="1"/>
        <c:majorTickMark val="out"/>
        <c:minorTickMark val="none"/>
        <c:tickLblPos val="nextTo"/>
        <c:spPr>
          <a:noFill/>
          <a:ln w="12700" cap="flat" cmpd="sng" algn="ctr">
            <a:solidFill>
              <a:schemeClr val="accent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charset="0"/>
                <a:ea typeface="宋体" panose="02010600030101010101" charset="-122"/>
                <a:cs typeface="+mn-cs"/>
              </a:defRPr>
            </a:pPr>
            <a:endParaRPr lang="zh-CN"/>
          </a:p>
        </c:txPr>
        <c:crossAx val="-1819573808"/>
        <c:crosses val="autoZero"/>
        <c:auto val="1"/>
        <c:lblAlgn val="ctr"/>
        <c:lblOffset val="100"/>
        <c:noMultiLvlLbl val="0"/>
      </c:catAx>
      <c:valAx>
        <c:axId val="-1819573808"/>
        <c:scaling>
          <c:orientation val="minMax"/>
        </c:scaling>
        <c:delete val="0"/>
        <c:axPos val="b"/>
        <c:numFmt formatCode="0.00_ " sourceLinked="1"/>
        <c:majorTickMark val="out"/>
        <c:minorTickMark val="none"/>
        <c:tickLblPos val="nextTo"/>
        <c:crossAx val="-181957835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lang="zh-CN" sz="900" baseline="0">
          <a:solidFill>
            <a:sysClr val="windowText" lastClr="000000"/>
          </a:solidFill>
          <a:latin typeface="Times New Roman" panose="02020603050405020304" charset="0"/>
          <a:ea typeface="宋体" panose="02010600030101010101" charset="-122"/>
        </a:defRPr>
      </a:pPr>
      <a:endParaRPr lang="zh-CN"/>
    </a:p>
  </c:txPr>
  <c:externalData r:id="rId2">
    <c:autoUpdate val="0"/>
  </c:externalData>
  <c:userShapes r:id="rId3"/>
</c:chartSpace>
</file>

<file path=word/drawings/_rels/drawing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tmp"/></Relationships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</cdr:x>
      <cdr:y>0</cdr:y>
    </cdr:from>
    <cdr:to>
      <cdr:x>0.02709</cdr:x>
      <cdr:y>0.04332</cdr:y>
    </cdr:to>
    <cdr:pic>
      <cdr:nvPicPr>
        <cdr:cNvPr id="3" name="图片 2"/>
        <cdr:cNvPicPr>
          <a:picLocks xmlns:a="http://schemas.openxmlformats.org/drawingml/2006/main" noChangeAspect="1"/>
        </cdr:cNvPicPr>
      </cdr:nvPicPr>
      <cdr:blipFill>
        <a:blip xmlns:a="http://schemas.openxmlformats.org/drawingml/2006/main" xmlns:r="http://schemas.openxmlformats.org/officeDocument/2006/relationships" r:embed="rId1">
          <a:extLst>
            <a:ext uri="{28A0092B-C50C-407E-A947-70E740481C1C}">
              <a14:useLocalDpi xmlns:a14="http://schemas.microsoft.com/office/drawing/2010/main" val="0"/>
            </a:ext>
          </a:extLst>
        </a:blip>
        <a:stretch xmlns:a="http://schemas.openxmlformats.org/drawingml/2006/main">
          <a:fillRect/>
        </a:stretch>
      </cdr:blipFill>
      <cdr:spPr>
        <a:xfrm xmlns:a="http://schemas.openxmlformats.org/drawingml/2006/main">
          <a:off x="0" y="0"/>
          <a:ext cx="142875" cy="142875"/>
        </a:xfrm>
        <a:prstGeom xmlns:a="http://schemas.openxmlformats.org/drawingml/2006/main" prst="rect">
          <a:avLst/>
        </a:prstGeom>
      </cdr:spPr>
    </cdr:pic>
  </cdr:relSizeAnchor>
</c:userShape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17406D"/>
    </a:dk2>
    <a:lt2>
      <a:srgbClr val="DBEFF9"/>
    </a:lt2>
    <a:accent1>
      <a:srgbClr val="0F6FC6"/>
    </a:accent1>
    <a:accent2>
      <a:srgbClr val="009DD9"/>
    </a:accent2>
    <a:accent3>
      <a:srgbClr val="0BD0D9"/>
    </a:accent3>
    <a:accent4>
      <a:srgbClr val="10CF9B"/>
    </a:accent4>
    <a:accent5>
      <a:srgbClr val="7CCA62"/>
    </a:accent5>
    <a:accent6>
      <a:srgbClr val="A5C249"/>
    </a:accent6>
    <a:hlink>
      <a:srgbClr val="F49100"/>
    </a:hlink>
    <a:folHlink>
      <a:srgbClr val="85DFD0"/>
    </a:folHlink>
  </a:clrScheme>
  <a:fontScheme name="Office">
    <a:majorFont>
      <a:latin typeface="Calibri Light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军亮 马</dc:creator>
  <cp:keywords/>
  <dc:description/>
  <cp:lastModifiedBy>军亮 马</cp:lastModifiedBy>
  <cp:revision>18</cp:revision>
  <dcterms:created xsi:type="dcterms:W3CDTF">2025-06-03T09:06:00Z</dcterms:created>
  <dcterms:modified xsi:type="dcterms:W3CDTF">2025-07-18T02:33:00Z</dcterms:modified>
</cp:coreProperties>
</file>