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319DD" w14:textId="39BDE157" w:rsidR="00890BD8" w:rsidRDefault="00934F84" w:rsidP="00934F84">
      <w:pPr>
        <w:jc w:val="center"/>
        <w:rPr>
          <w:rFonts w:hint="eastAsia"/>
        </w:rPr>
      </w:pPr>
      <w:r w:rsidRPr="008C3D38">
        <w:rPr>
          <w:rFonts w:hint="eastAsia"/>
          <w:noProof/>
        </w:rPr>
        <w:drawing>
          <wp:inline distT="0" distB="0" distL="0" distR="0" wp14:anchorId="447A9175" wp14:editId="1EB6DA03">
            <wp:extent cx="5472000" cy="3238500"/>
            <wp:effectExtent l="0" t="0" r="0" b="0"/>
            <wp:docPr id="6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EA0CE" w14:textId="77777777" w:rsidR="00DB4D3A" w:rsidRDefault="00DB4D3A" w:rsidP="00934F8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E5DD52" w14:textId="77777777" w:rsidR="00DB4D3A" w:rsidRDefault="00DB4D3A" w:rsidP="00934F8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A001D" w14:textId="77777777" w:rsidR="00DB4D3A" w:rsidRDefault="00DB4D3A" w:rsidP="00934F8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249899" w14:textId="77777777" w:rsidR="00DB4D3A" w:rsidRDefault="00DB4D3A" w:rsidP="00934F8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A1"/>
    <w:rsid w:val="000A5B44"/>
    <w:rsid w:val="000C19BE"/>
    <w:rsid w:val="000E0BFE"/>
    <w:rsid w:val="00265348"/>
    <w:rsid w:val="0035395F"/>
    <w:rsid w:val="00383959"/>
    <w:rsid w:val="006311A1"/>
    <w:rsid w:val="006920CA"/>
    <w:rsid w:val="007602D8"/>
    <w:rsid w:val="00845EB9"/>
    <w:rsid w:val="00890BD8"/>
    <w:rsid w:val="00934F84"/>
    <w:rsid w:val="00961892"/>
    <w:rsid w:val="00A24D80"/>
    <w:rsid w:val="00A454EA"/>
    <w:rsid w:val="00B80160"/>
    <w:rsid w:val="00DB4D3A"/>
    <w:rsid w:val="00E10C89"/>
    <w:rsid w:val="00EE71E0"/>
    <w:rsid w:val="00EF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CA7B4C0-B993-432C-9E5B-9C91B9561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11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1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1A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1A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1A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1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1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1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11A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1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1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11A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11A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11A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11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11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11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11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1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1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11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1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11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11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1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11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11A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4F8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34F8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34F8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34F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915203692923596"/>
          <c:y val="4.2331875182268885E-2"/>
          <c:w val="0.54403020675047209"/>
          <c:h val="0.9226872752017109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Lbls>
            <c:numFmt formatCode="0.00%;0.00%;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Sheet1!$A$2:$A$15</c:f>
              <c:strCache>
                <c:ptCount val="14"/>
                <c:pt idx="0">
                  <c:v>中初教育单位</c:v>
                </c:pt>
                <c:pt idx="1">
                  <c:v>其他企业</c:v>
                </c:pt>
                <c:pt idx="2">
                  <c:v>国有企业</c:v>
                </c:pt>
                <c:pt idx="3">
                  <c:v>三资企业</c:v>
                </c:pt>
                <c:pt idx="4">
                  <c:v>其他事业单位</c:v>
                </c:pt>
                <c:pt idx="5">
                  <c:v>科研设计单位</c:v>
                </c:pt>
                <c:pt idx="6">
                  <c:v>党政机关</c:v>
                </c:pt>
                <c:pt idx="7">
                  <c:v>其他教学单位</c:v>
                </c:pt>
                <c:pt idx="8">
                  <c:v>医疗卫生单位</c:v>
                </c:pt>
                <c:pt idx="9">
                  <c:v>部队</c:v>
                </c:pt>
                <c:pt idx="10">
                  <c:v>高等学校</c:v>
                </c:pt>
                <c:pt idx="11">
                  <c:v>城镇社区</c:v>
                </c:pt>
                <c:pt idx="12">
                  <c:v>农村建制村</c:v>
                </c:pt>
                <c:pt idx="13">
                  <c:v>其他</c:v>
                </c:pt>
              </c:strCache>
            </c:strRef>
          </c:cat>
          <c:val>
            <c:numRef>
              <c:f>Sheet1!$B$2:$B$15</c:f>
              <c:numCache>
                <c:formatCode>0.00%</c:formatCode>
                <c:ptCount val="14"/>
                <c:pt idx="0">
                  <c:v>-0.51372081432081396</c:v>
                </c:pt>
                <c:pt idx="1">
                  <c:v>-0.29406809406809398</c:v>
                </c:pt>
                <c:pt idx="2">
                  <c:v>-0.14984204984204899</c:v>
                </c:pt>
                <c:pt idx="3">
                  <c:v>-1.7901017901017901E-2</c:v>
                </c:pt>
                <c:pt idx="4">
                  <c:v>-1.2987012987012986E-2</c:v>
                </c:pt>
                <c:pt idx="5">
                  <c:v>-4.9140049140049139E-3</c:v>
                </c:pt>
                <c:pt idx="6">
                  <c:v>-1.7550017550017553E-3</c:v>
                </c:pt>
                <c:pt idx="7">
                  <c:v>-1.7550017550017553E-3</c:v>
                </c:pt>
                <c:pt idx="8">
                  <c:v>-1.4040014040014039E-3</c:v>
                </c:pt>
                <c:pt idx="9">
                  <c:v>-7.0200070200070197E-4</c:v>
                </c:pt>
                <c:pt idx="10">
                  <c:v>-3.5100035100035098E-4</c:v>
                </c:pt>
                <c:pt idx="11">
                  <c:v>-2.5100035100035099E-4</c:v>
                </c:pt>
                <c:pt idx="12">
                  <c:v>-1.51000351000351E-4</c:v>
                </c:pt>
                <c:pt idx="13">
                  <c:v>-1.51000351000351E-4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7A7-430E-9DE0-82B69F814C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8"/>
        <c:axId val="1011252560"/>
        <c:axId val="1011258160"/>
      </c:barChart>
      <c:catAx>
        <c:axId val="1011252560"/>
        <c:scaling>
          <c:orientation val="maxMin"/>
        </c:scaling>
        <c:delete val="0"/>
        <c:axPos val="l"/>
        <c:numFmt formatCode="General" sourceLinked="0"/>
        <c:majorTickMark val="none"/>
        <c:minorTickMark val="none"/>
        <c:tickLblPos val="high"/>
        <c:spPr>
          <a:noFill/>
          <a:ln w="9525" cap="flat" cmpd="sng" algn="ctr">
            <a:noFill/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alpha val="80000"/>
                  </a:sysClr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011258160"/>
        <c:crosses val="autoZero"/>
        <c:auto val="1"/>
        <c:lblAlgn val="ctr"/>
        <c:lblOffset val="100"/>
        <c:noMultiLvlLbl val="0"/>
      </c:catAx>
      <c:valAx>
        <c:axId val="1011258160"/>
        <c:scaling>
          <c:orientation val="minMax"/>
          <c:max val="0"/>
          <c:min val="-0.60000000000000009"/>
        </c:scaling>
        <c:delete val="1"/>
        <c:axPos val="t"/>
        <c:numFmt formatCode="0.00%" sourceLinked="1"/>
        <c:majorTickMark val="out"/>
        <c:minorTickMark val="none"/>
        <c:tickLblPos val="nextTo"/>
        <c:crossAx val="1011252560"/>
        <c:crosses val="autoZero"/>
        <c:crossBetween val="between"/>
        <c:majorUnit val="0.2"/>
      </c:valAx>
      <c:spPr>
        <a:solidFill>
          <a:schemeClr val="bg1"/>
        </a:solidFill>
        <a:ln>
          <a:noFill/>
        </a:ln>
        <a:effectLst/>
      </c:spPr>
    </c:plotArea>
    <c:plotVisOnly val="1"/>
    <c:dispBlanksAs val="gap"/>
    <c:showDLblsOverMax val="0"/>
  </c:chart>
  <c:spPr>
    <a:noFill/>
    <a:ln w="6350" cap="flat" cmpd="sng" algn="ctr">
      <a:noFill/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>
      <a:schemeClr val="dk1">
        <a:tint val="95000"/>
      </a:schem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>
      <a:schemeClr val="dk1">
        <a:tint val="5000"/>
      </a:schem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10</cp:revision>
  <dcterms:created xsi:type="dcterms:W3CDTF">2025-06-03T09:25:00Z</dcterms:created>
  <dcterms:modified xsi:type="dcterms:W3CDTF">2025-07-18T02:38:00Z</dcterms:modified>
</cp:coreProperties>
</file>