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c57daacbfca54fd7" /><Relationship Type="http://schemas.openxmlformats.org/package/2006/relationships/metadata/core-properties" Target="/docProps/core.xml" Id="R284b0e3119124745" /><Relationship Type="http://schemas.openxmlformats.org/officeDocument/2006/relationships/extended-properties" Target="/docProps/app.xml" Id="R071cc403f0ad49cf" /><Relationship Type="http://schemas.openxmlformats.org/officeDocument/2006/relationships/custom-properties" Target="/docProps/custom.xml" Id="R0cf3186ecef34ab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Student Performance Analytics and Prediction</w:t>
      </w:r>
    </w:p>
    <w:p w14:paraId="00100002" w14:textId="00100003">
      <w:pPr>
        <w:pStyle w:val="Normal"/>
        <w:spacing w:after="120"/>
        <w:jc w:val="center"/>
      </w:pPr>
      <w:r>
        <w:rPr>
          <w:sz w:val="28"/>
        </w:rPr>
        <w:t xml:space="preserve">Academic Internship Project Report</w:t>
      </w:r>
    </w:p>
    <w:p w14:paraId="00100004" w14:textId="00100005">
      <w:pPr>
        <w:pStyle w:val="Normal"/>
        <w:spacing w:after="80"/>
        <w:jc w:val="center"/>
      </w:pPr>
      <w:r>
        <w:rPr>
          <w:sz w:val="24"/>
        </w:rPr>
        <w:t xml:space="preserve">Submitted by</w:t>
      </w:r>
    </w:p>
    <w:p w14:paraId="00100006" w14:textId="00100007">
      <w:pPr>
        <w:pStyle w:val="Normal"/>
        <w:spacing w:after="120"/>
        <w:jc w:val="center"/>
      </w:pPr>
      <w:r>
        <w:rPr>
          <w:b/>
          <w:sz w:val="32"/>
        </w:rPr>
        <w:t xml:space="preserve">Piyush Raj</w:t>
      </w:r>
    </w:p>
    <w:p w14:paraId="00100008" w14:textId="00100009">
      <w:pPr>
        <w:pStyle w:val="Normal"/>
        <w:spacing w:after="80"/>
        <w:jc w:val="center"/>
      </w:pPr>
      <w:r>
        <w:rPr>
          <w:sz w:val="24"/>
        </w:rPr>
        <w:t xml:space="preserve">B.Tech — Computer Science &amp; Engineering (Data Science)</w:t>
      </w:r>
    </w:p>
    <w:p w14:paraId="0010000A" w14:textId="0010000B">
      <w:pPr>
        <w:pStyle w:val="Normal"/>
        <w:spacing w:after="240"/>
        <w:jc w:val="center"/>
      </w:pPr>
      <w:r>
        <w:rPr>
          <w:sz w:val="24"/>
        </w:rPr>
        <w:t xml:space="preserve">Haldia Institute of Technology</w:t>
      </w:r>
    </w:p>
    <w:p w14:paraId="0010000C" w14:textId="0010000D">
      <w:pPr>
        <w:pStyle w:val="Normal"/>
        <w:spacing w:after="80"/>
        <w:jc w:val="center"/>
      </w:pPr>
      <w:r>
        <w:rPr>
          <w:b/>
          <w:sz w:val="24"/>
        </w:rPr>
        <w:t xml:space="preserve">IBM SkillsBuild Data Analytics with AI Academic Internship 2026</w:t>
      </w:r>
    </w:p>
    <w:p w14:paraId="0010000E" w14:textId="0010000F">
      <w:pPr>
        <w:pStyle w:val="Normal"/>
        <w:spacing w:after="800"/>
        <w:jc w:val="center"/>
      </w:pPr>
      <w:r>
        <w:rPr>
          <w:sz w:val="24"/>
        </w:rPr>
        <w:t xml:space="preserve">BharatCares in association with AICTE</w:t>
      </w:r>
    </w:p>
    <w:p w14:paraId="00100010" w14:textId="00100011">
      <w:pPr>
        <w:pStyle w:val="Normal"/>
        <w:spacing w:after="80"/>
        <w:jc w:val="center"/>
      </w:pPr>
      <w:r>
        <w:rPr>
          <w:sz w:val="22"/>
        </w:rPr>
        <w:t xml:space="preserve">Project Title: Student Performance Analytics and Prediction</w:t>
      </w:r>
    </w:p>
    <w:p w14:paraId="00100012" w14:textId="00100013">
      <w:pPr>
        <w:pStyle w:val="Normal"/>
        <w:spacing w:after="80"/>
        <w:jc w:val="center"/>
      </w:pPr>
      <w:r>
        <w:rPr>
          <w:sz w:val="22"/>
        </w:rPr>
        <w:t xml:space="preserve">Dataset: Student Performance and Learning Behavior Dataset (Kaggle)</w:t>
      </w:r>
    </w:p>
    <w:p w14:paraId="00100014" w14:textId="00100015">
      <w:pPr>
        <w:pStyle w:val="Normal"/>
        <w:spacing w:after="80"/>
        <w:jc w:val="center"/>
      </w:pPr>
      <w:r>
        <w:rPr>
          <w:sz w:val="22"/>
        </w:rPr>
        <w:t xml:space="preserve">Tools: Python 3 · NumPy · pandas · Matplotlib · Seaborn · SciPy · scikit-learn</w:t>
      </w:r>
    </w:p>
    <w:p w14:paraId="00100016" w14:textId="00100017">
      <w:pPr>
        <w:pStyle w:val="Normal"/>
        <w:spacing w:after="600"/>
        <w:jc w:val="center"/>
      </w:pPr>
      <w:r>
        <w:rPr>
          <w:sz w:val="22"/>
        </w:rPr>
        <w:t xml:space="preserve">Notebook File: PiyushRaj_StudentPerformanceAnalytics.ipynb</w:t>
      </w:r>
    </w:p>
    <w:p w14:paraId="00100018" w14:textId="00100019">
      <w:pPr>
        <w:pStyle w:val="Heading1"/>
        <w:spacing w:before="280" w:after="120"/>
      </w:pPr>
      <w:r>
        <w:rPr>
          <w:b/>
          <w:sz w:val="32"/>
        </w:rPr>
        <w:t xml:space="preserve">Abstract</w:t>
      </w:r>
    </w:p>
    <w:p w14:paraId="0010001A" w14:textId="0010001B">
      <w:pPr>
        <w:pStyle w:val="Normal"/>
        <w:spacing w:after="120"/>
      </w:pPr>
      <w:r>
        <w:rPr>
          <w:sz w:val="22"/>
        </w:rPr>
        <w:t xml:space="preserve">This project presents a complete, end-to-end data analytics and machine learning pipeline applied to the Student Performance and Learning Behavior Dataset obtained from Kaggle. The dataset contains 14,003 records and 16 features describing student demographics, study behaviours, digital resource usage, and academic outcomes. Following standard data science methodology — exploratory data analysis, statistical hypothesis testing, feature engineering, and regression modelling — the project investigates the factors associated with student exam performance.</w:t>
      </w:r>
    </w:p>
    <w:p w14:paraId="0010001C" w14:textId="0010001D">
      <w:pPr>
        <w:pStyle w:val="Normal"/>
        <w:spacing w:after="120"/>
      </w:pPr>
      <w:r>
        <w:rPr>
          <w:sz w:val="22"/>
        </w:rPr>
        <w:t xml:space="preserve">After removing 1,534 duplicate rows (10.95%), the cleaned dataset comprises 12,469 records. Four regression models were trained to predict the continuous ExamScore variable using 18 input features (14 original plus 4 engineered). The best-performing model, a Random Forest Regressor with maximum depth 8, achieved a cross-validated R² of 0.2047 and a test-set R² of 0.2383, with a test RMSE of 15.49 score points. These results reflect an honest modelling outcome: the dataset is synthetic, individual behavioural features have very weak linear correlations with exam scores (|r| &lt; 0.04), and predictive performance is accordingly modest. The analysis demonstrates a sound, reproducible data science workflow and yields actionable insights for educational policy, while acknowledging the limitations of synthetic data and the absence of causal inference.</w:t>
      </w:r>
    </w:p>
    <w:p w14:paraId="0010001E" w14:textId="0010001F">
      <w:pPr>
        <w:pStyle w:val="Heading1"/>
        <w:spacing w:before="280" w:after="120"/>
      </w:pPr>
      <w:r>
        <w:rPr>
          <w:b/>
          <w:sz w:val="32"/>
        </w:rPr>
        <w:t xml:space="preserve">1. Introduction</w:t>
      </w:r>
    </w:p>
    <w:p w14:paraId="00100020" w14:textId="00100021">
      <w:pPr>
        <w:pStyle w:val="Normal"/>
        <w:spacing w:after="120"/>
      </w:pPr>
      <w:r>
        <w:rPr>
          <w:sz w:val="22"/>
        </w:rPr>
        <w:t xml:space="preserve">Academic performance prediction has emerged as a significant research area within educational data mining and learning analytics. Institutions generate large volumes of student data that, if systematically analysed, can help identify at-risk learners, evaluate the effectiveness of pedagogical interventions, and inform resource allocation decisions. Machine learning models trained on such data offer a data-driven complement to traditional assessment approaches, though their utility depends critically on data quality, feature relevance, and honest evaluation.</w:t>
      </w:r>
    </w:p>
    <w:p w14:paraId="00100022" w14:textId="00100023">
      <w:pPr>
        <w:pStyle w:val="Normal"/>
        <w:spacing w:after="120"/>
      </w:pPr>
      <w:r>
        <w:rPr>
          <w:sz w:val="22"/>
        </w:rPr>
        <w:t xml:space="preserve">This internship project was undertaken as part of the IBM SkillsBuild Data Analytics with AI Academic Internship 2026, hosted by BharatCares in association with AICTE. The objective was to apply professional-grade data analytics and machine learning techniques to a publicly available student dataset, producing a reproducible, submission-ready Jupyter Notebook that demonstrates the complete data science lifecycle — from raw data ingestion through model evaluation and interpretation.</w:t>
      </w:r>
    </w:p>
    <w:p w14:paraId="00100024" w14:textId="00100025">
      <w:pPr>
        <w:pStyle w:val="Normal"/>
        <w:spacing w:after="120"/>
      </w:pPr>
      <w:r>
        <w:rPr>
          <w:sz w:val="22"/>
        </w:rPr>
        <w:t xml:space="preserve">The chosen dataset provides a rich array of student attributes including study hours, attendance, motivational levels, stress levels, internet access, learning styles, and digital resource usage. The target variable for regression is ExamScore, a continuous measure of academic achievement ranging from 40 to 100.</w:t>
      </w:r>
    </w:p>
    <w:p w14:paraId="00100026" w14:textId="00100027">
      <w:pPr>
        <w:pStyle w:val="Heading1"/>
        <w:spacing w:before="280" w:after="120"/>
      </w:pPr>
      <w:r>
        <w:rPr>
          <w:b/>
          <w:sz w:val="32"/>
        </w:rPr>
        <w:t xml:space="preserve">2. Problem Statement</w:t>
      </w:r>
    </w:p>
    <w:p w14:paraId="00100028" w14:textId="00100029">
      <w:pPr>
        <w:pStyle w:val="Normal"/>
        <w:spacing w:after="120"/>
      </w:pPr>
      <w:r>
        <w:rPr>
          <w:sz w:val="22"/>
        </w:rPr>
        <w:t xml:space="preserve">Educational institutions face the persistent challenge of understanding which student behaviours and characteristics are meaningfully associated with academic outcomes. While teachers can observe individual students, systematic data-driven analysis across large cohorts is needed to identify generalizable patterns and develop scalable support strategies.</w:t>
      </w:r>
    </w:p>
    <w:p w14:paraId="0010002A" w14:textId="0010002B">
      <w:pPr>
        <w:pStyle w:val="Normal"/>
        <w:spacing w:after="120"/>
      </w:pPr>
      <w:r>
        <w:rPr>
          <w:sz w:val="22"/>
        </w:rPr>
        <w:t xml:space="preserve">The core question addressed by this project is: Can student behavioural, demographic, and resource-access features be used to predict exam scores with meaningful accuracy, and what patterns in these features are associated with different levels of academic performance?</w:t>
      </w:r>
    </w:p>
    <w:p w14:paraId="0010002C" w14:textId="0010002D">
      <w:pPr>
        <w:pStyle w:val="Normal"/>
        <w:spacing w:after="120"/>
      </w:pPr>
      <w:r>
        <w:rPr>
          <w:sz w:val="22"/>
        </w:rPr>
        <w:t xml:space="preserve">A secondary concern is methodological rigour: predictive models trained on synthetic or observational data must be evaluated honestly, and associations must not be presented as causal relationships.</w:t>
      </w:r>
    </w:p>
    <w:p w14:paraId="0010002E" w14:textId="0010002F">
      <w:pPr>
        <w:pStyle w:val="Heading1"/>
        <w:spacing w:before="280" w:after="120"/>
      </w:pPr>
      <w:r>
        <w:rPr>
          <w:b/>
          <w:sz w:val="32"/>
        </w:rPr>
        <w:t xml:space="preserve">3. Objectives</w:t>
      </w:r>
    </w:p>
    <w:p w14:paraId="00100030" w14:textId="00100031">
      <w:pPr>
        <w:pStyle w:val="Normal"/>
        <w:spacing w:after="80"/>
      </w:pPr>
      <w:r>
        <w:rPr>
          <w:sz w:val="22"/>
        </w:rPr>
        <w:t xml:space="preserve">The specific objectives of this project are:</w:t>
      </w:r>
    </w:p>
    <w:p w14:paraId="00100032" w14:textId="00100033">
      <w:pPr>
        <w:pStyle w:val="Normal"/>
        <w:numPr>
          <w:ilvl w:val="0"/>
          <w:numId w:val="1"/>
        </w:numPr>
        <w:spacing w:after="60"/>
      </w:pPr>
      <w:r>
        <w:rPr>
          <w:sz w:val="22"/>
        </w:rPr>
        <w:t xml:space="preserve">1. To explore and characterise the Student Performance and Learning Behavior Dataset through systematic data understanding, missing value analysis, duplicate detection, and descriptive statistics.</w:t>
      </w:r>
    </w:p>
    <w:p w14:paraId="00100034" w14:textId="00100035">
      <w:pPr>
        <w:pStyle w:val="Normal"/>
        <w:numPr>
          <w:ilvl w:val="0"/>
          <w:numId w:val="1"/>
        </w:numPr>
        <w:spacing w:after="60"/>
      </w:pPr>
      <w:r>
        <w:rPr>
          <w:sz w:val="22"/>
        </w:rPr>
        <w:t xml:space="preserve">2. To identify patterns and associations between student behavioural, demographic, and digital resource features and academic performance (ExamScore) through exploratory data analysis (EDA) and statistical hypothesis testing.</w:t>
      </w:r>
    </w:p>
    <w:p w14:paraId="00100036" w14:textId="00100037">
      <w:pPr>
        <w:pStyle w:val="Normal"/>
        <w:numPr>
          <w:ilvl w:val="0"/>
          <w:numId w:val="1"/>
        </w:numPr>
        <w:spacing w:after="60"/>
      </w:pPr>
      <w:r>
        <w:rPr>
          <w:sz w:val="22"/>
        </w:rPr>
        <w:t xml:space="preserve">3. To engineer composite features that capture multi-dimensional aspects of student engagement and support access, and to assess their predictive utility.</w:t>
      </w:r>
    </w:p>
    <w:p w14:paraId="00100038" w14:textId="00100039">
      <w:pPr>
        <w:pStyle w:val="Normal"/>
        <w:numPr>
          <w:ilvl w:val="0"/>
          <w:numId w:val="1"/>
        </w:numPr>
        <w:spacing w:after="60"/>
      </w:pPr>
      <w:r>
        <w:rPr>
          <w:sz w:val="22"/>
        </w:rPr>
        <w:t xml:space="preserve">4. To build and cross-validate multiple regression models (Linear Regression, Decision Tree, Random Forest, Gradient Boosting) for predicting continuous ExamScore, and to select the best model based on cross-validated performance.</w:t>
      </w:r>
    </w:p>
    <w:p w14:paraId="0010003A" w14:textId="0010003B">
      <w:pPr>
        <w:pStyle w:val="Normal"/>
        <w:numPr>
          <w:ilvl w:val="0"/>
          <w:numId w:val="1"/>
        </w:numPr>
        <w:spacing w:after="60"/>
      </w:pPr>
      <w:r>
        <w:rPr>
          <w:sz w:val="22"/>
        </w:rPr>
        <w:t xml:space="preserve">5. To evaluate model performance honestly using appropriate metrics (MAE, RMSE, R²) and to present residual diagnostics and feature importance analysis.</w:t>
      </w:r>
    </w:p>
    <w:p w14:paraId="0010003C" w14:textId="0010003D">
      <w:pPr>
        <w:pStyle w:val="Normal"/>
        <w:numPr>
          <w:ilvl w:val="0"/>
          <w:numId w:val="1"/>
        </w:numPr>
        <w:spacing w:after="120"/>
      </w:pPr>
      <w:r>
        <w:rPr>
          <w:sz w:val="22"/>
        </w:rPr>
        <w:t xml:space="preserve">6. To derive actionable educational insights and recommendations grounded in the analytical findings, while clearly acknowledging limitations.</w:t>
      </w:r>
    </w:p>
    <w:p w14:paraId="0010003E" w14:textId="0010003F">
      <w:pPr>
        <w:pStyle w:val="Heading1"/>
        <w:spacing w:before="280" w:after="120"/>
      </w:pPr>
      <w:r>
        <w:rPr>
          <w:b/>
          <w:sz w:val="32"/>
        </w:rPr>
        <w:t xml:space="preserve">4. Dataset Description</w:t>
      </w:r>
    </w:p>
    <w:p w14:paraId="00100040" w14:textId="00100041">
      <w:pPr>
        <w:pStyle w:val="Normal"/>
        <w:spacing w:after="120"/>
      </w:pPr>
      <w:r>
        <w:rPr>
          <w:sz w:val="22"/>
        </w:rPr>
        <w:t xml:space="preserve">The dataset used in this project is the Student Performance and Learning Behavior Dataset, available on Kaggle (https://www.kaggle.com/datasets/adilshamim8/student-performance-and-learning-style). It is a synthetic dataset designed to simulate student academic data for research and educational analytics purposes.</w:t>
      </w:r>
    </w:p>
    <w:p w14:paraId="00100042" w14:textId="00100043">
      <w:pPr>
        <w:pStyle w:val="Heading2"/>
        <w:spacing w:before="200" w:after="80"/>
      </w:pPr>
      <w:r>
        <w:rPr>
          <w:b/>
          <w:sz w:val="26"/>
        </w:rPr>
        <w:t xml:space="preserve">4.1 Basic Statistics</w:t>
      </w:r>
    </w:p>
    <w:p w14:paraId="00100044" w14:textId="00100045">
      <w:pPr>
        <w:pStyle w:val="Normal"/>
        <w:spacing w:after="120"/>
      </w:pPr>
      <w:r>
        <w:rPr>
          <w:sz w:val="22"/>
        </w:rPr>
        <w:t xml:space="preserve">Raw records: 14,003 rows x 16 columns. After removing 1,534 exact duplicate rows (10.95%), the cleaned dataset contains 12,469 rows. All 16 columns are integer-encoded (int64). There are zero missing values across all features. The dataset is approximately balanced across the four grade categories.</w:t>
      </w:r>
    </w:p>
    <w:p w14:paraId="00100046" w14:textId="00100047">
      <w:pPr>
        <w:pStyle w:val="Heading2"/>
        <w:spacing w:before="200" w:after="80"/>
      </w:pPr>
      <w:r>
        <w:rPr>
          <w:b/>
          <w:sz w:val="26"/>
        </w:rPr>
        <w:t xml:space="preserve">4.2 Column Descriptions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48" w14:textId="00100049">
            <w:r>
              <w:t xml:space="preserve">Column</w:t>
            </w:r>
          </w:p>
        </w:tc>
        <w:tc>
          <w:p w14:paraId="0010004A" w14:textId="0010004B">
            <w:r>
              <w:t xml:space="preserve">Type</w:t>
            </w:r>
          </w:p>
        </w:tc>
        <w:tc>
          <w:p w14:paraId="0010004C" w14:textId="0010004D">
            <w:r>
              <w:t xml:space="preserve">Range / Values</w:t>
            </w:r>
          </w:p>
        </w:tc>
        <w:tc>
          <w:p w14:paraId="0010004E" w14:textId="0010004F">
            <w:r>
              <w:t xml:space="preserve">Description</w:t>
            </w:r>
          </w:p>
        </w:tc>
      </w:tr>
      <w:tr>
        <w:trPr/>
        <w:tc>
          <w:p w14:paraId="00100050" w14:textId="00100051">
            <w:r>
              <w:t xml:space="preserve">StudyHours</w:t>
            </w:r>
          </w:p>
        </w:tc>
        <w:tc>
          <w:p w14:paraId="00100052" w14:textId="00100053">
            <w:r>
              <w:t xml:space="preserve">Continuous</w:t>
            </w:r>
          </w:p>
        </w:tc>
        <w:tc>
          <w:p w14:paraId="00100054" w14:textId="00100055">
            <w:r>
              <w:t xml:space="preserve">5 – 44</w:t>
            </w:r>
          </w:p>
        </w:tc>
        <w:tc>
          <w:p w14:paraId="00100056" w14:textId="00100057">
            <w:r>
              <w:t xml:space="preserve">Weekly hours devoted to self-study</w:t>
            </w:r>
          </w:p>
        </w:tc>
      </w:tr>
      <w:tr>
        <w:trPr/>
        <w:tc>
          <w:p w14:paraId="00100058" w14:textId="00100059">
            <w:r>
              <w:t xml:space="preserve">Attendance</w:t>
            </w:r>
          </w:p>
        </w:tc>
        <w:tc>
          <w:p w14:paraId="0010005A" w14:textId="0010005B">
            <w:r>
              <w:t xml:space="preserve">Continuous</w:t>
            </w:r>
          </w:p>
        </w:tc>
        <w:tc>
          <w:p w14:paraId="0010005C" w14:textId="0010005D">
            <w:r>
              <w:t xml:space="preserve">60 – 100</w:t>
            </w:r>
          </w:p>
        </w:tc>
        <w:tc>
          <w:p w14:paraId="0010005E" w14:textId="0010005F">
            <w:r>
              <w:t xml:space="preserve">Percentage class attendance</w:t>
            </w:r>
          </w:p>
        </w:tc>
      </w:tr>
      <w:tr>
        <w:trPr/>
        <w:tc>
          <w:p w14:paraId="00100060" w14:textId="00100061">
            <w:r>
              <w:t xml:space="preserve">Resources</w:t>
            </w:r>
          </w:p>
        </w:tc>
        <w:tc>
          <w:p w14:paraId="00100062" w14:textId="00100063">
            <w:r>
              <w:t xml:space="preserve">Ordinal</w:t>
            </w:r>
          </w:p>
        </w:tc>
        <w:tc>
          <w:p w14:paraId="00100064" w14:textId="00100065">
            <w:r>
              <w:t xml:space="preserve">0, 1, 2</w:t>
            </w:r>
          </w:p>
        </w:tc>
        <w:tc>
          <w:p w14:paraId="00100066" w14:textId="00100067">
            <w:r>
              <w:t xml:space="preserve">Access level to learning resources (0=Low, 1=Medium, 2=High)</w:t>
            </w:r>
          </w:p>
        </w:tc>
      </w:tr>
      <w:tr>
        <w:trPr/>
        <w:tc>
          <w:p w14:paraId="00100068" w14:textId="00100069">
            <w:r>
              <w:t xml:space="preserve">Extracurricular</w:t>
            </w:r>
          </w:p>
        </w:tc>
        <w:tc>
          <w:p w14:paraId="0010006A" w14:textId="0010006B">
            <w:r>
              <w:t xml:space="preserve">Binary</w:t>
            </w:r>
          </w:p>
        </w:tc>
        <w:tc>
          <w:p w14:paraId="0010006C" w14:textId="0010006D">
            <w:r>
              <w:t xml:space="preserve">0, 1</w:t>
            </w:r>
          </w:p>
        </w:tc>
        <w:tc>
          <w:p w14:paraId="0010006E" w14:textId="0010006F">
            <w:r>
              <w:t xml:space="preserve">Participation in extracurricular activities</w:t>
            </w:r>
          </w:p>
        </w:tc>
      </w:tr>
      <w:tr>
        <w:trPr/>
        <w:tc>
          <w:p w14:paraId="00100070" w14:textId="00100071">
            <w:r>
              <w:t xml:space="preserve">Motivation</w:t>
            </w:r>
          </w:p>
        </w:tc>
        <w:tc>
          <w:p w14:paraId="00100072" w14:textId="00100073">
            <w:r>
              <w:t xml:space="preserve">Ordinal</w:t>
            </w:r>
          </w:p>
        </w:tc>
        <w:tc>
          <w:p w14:paraId="00100074" w14:textId="00100075">
            <w:r>
              <w:t xml:space="preserve">0, 1, 2</w:t>
            </w:r>
          </w:p>
        </w:tc>
        <w:tc>
          <w:p w14:paraId="00100076" w14:textId="00100077">
            <w:r>
              <w:t xml:space="preserve">Self-reported motivation level (0=Low, 1=Medium, 2=High)</w:t>
            </w:r>
          </w:p>
        </w:tc>
      </w:tr>
      <w:tr>
        <w:trPr/>
        <w:tc>
          <w:p w14:paraId="00100078" w14:textId="00100079">
            <w:r>
              <w:t xml:space="preserve">Internet</w:t>
            </w:r>
          </w:p>
        </w:tc>
        <w:tc>
          <w:p w14:paraId="0010007A" w14:textId="0010007B">
            <w:r>
              <w:t xml:space="preserve">Binary</w:t>
            </w:r>
          </w:p>
        </w:tc>
        <w:tc>
          <w:p w14:paraId="0010007C" w14:textId="0010007D">
            <w:r>
              <w:t xml:space="preserve">0, 1</w:t>
            </w:r>
          </w:p>
        </w:tc>
        <w:tc>
          <w:p w14:paraId="0010007E" w14:textId="0010007F">
            <w:r>
              <w:t xml:space="preserve">Internet access at home (0=No, 1=Yes)</w:t>
            </w:r>
          </w:p>
        </w:tc>
      </w:tr>
      <w:tr>
        <w:trPr/>
        <w:tc>
          <w:p w14:paraId="00100080" w14:textId="00100081">
            <w:r>
              <w:t xml:space="preserve">Gender</w:t>
            </w:r>
          </w:p>
        </w:tc>
        <w:tc>
          <w:p w14:paraId="00100082" w14:textId="00100083">
            <w:r>
              <w:t xml:space="preserve">Binary</w:t>
            </w:r>
          </w:p>
        </w:tc>
        <w:tc>
          <w:p w14:paraId="00100084" w14:textId="00100085">
            <w:r>
              <w:t xml:space="preserve">0, 1</w:t>
            </w:r>
          </w:p>
        </w:tc>
        <w:tc>
          <w:p w14:paraId="00100086" w14:textId="00100087">
            <w:r>
              <w:t xml:space="preserve">Student gender (0=Female, 1=Male)</w:t>
            </w:r>
          </w:p>
        </w:tc>
      </w:tr>
      <w:tr>
        <w:trPr/>
        <w:tc>
          <w:p w14:paraId="00100088" w14:textId="00100089">
            <w:r>
              <w:t xml:space="preserve">Age</w:t>
            </w:r>
          </w:p>
        </w:tc>
        <w:tc>
          <w:p w14:paraId="0010008A" w14:textId="0010008B">
            <w:r>
              <w:t xml:space="preserve">Continuous</w:t>
            </w:r>
          </w:p>
        </w:tc>
        <w:tc>
          <w:p w14:paraId="0010008C" w14:textId="0010008D">
            <w:r>
              <w:t xml:space="preserve">18 – 29</w:t>
            </w:r>
          </w:p>
        </w:tc>
        <w:tc>
          <w:p w14:paraId="0010008E" w14:textId="0010008F">
            <w:r>
              <w:t xml:space="preserve">Student age in years</w:t>
            </w:r>
          </w:p>
        </w:tc>
      </w:tr>
      <w:tr>
        <w:trPr/>
        <w:tc>
          <w:p w14:paraId="00100090" w14:textId="00100091">
            <w:r>
              <w:t xml:space="preserve">LearningStyle</w:t>
            </w:r>
          </w:p>
        </w:tc>
        <w:tc>
          <w:p w14:paraId="00100092" w14:textId="00100093">
            <w:r>
              <w:t xml:space="preserve">Nominal</w:t>
            </w:r>
          </w:p>
        </w:tc>
        <w:tc>
          <w:p w14:paraId="00100094" w14:textId="00100095">
            <w:r>
              <w:t xml:space="preserve">0, 1, 2, 3</w:t>
            </w:r>
          </w:p>
        </w:tc>
        <w:tc>
          <w:p w14:paraId="00100096" w14:textId="00100097">
            <w:r>
              <w:t xml:space="preserve">Preferred learning style (Visual, Auditory, Read/Write, Kinaesthetic)</w:t>
            </w:r>
          </w:p>
        </w:tc>
      </w:tr>
      <w:tr>
        <w:trPr/>
        <w:tc>
          <w:p w14:paraId="00100098" w14:textId="00100099">
            <w:r>
              <w:t xml:space="preserve">OnlineCourses</w:t>
            </w:r>
          </w:p>
        </w:tc>
        <w:tc>
          <w:p w14:paraId="0010009A" w14:textId="0010009B">
            <w:r>
              <w:t xml:space="preserve">Continuous</w:t>
            </w:r>
          </w:p>
        </w:tc>
        <w:tc>
          <w:p w14:paraId="0010009C" w14:textId="0010009D">
            <w:r>
              <w:t xml:space="preserve">0 – 20</w:t>
            </w:r>
          </w:p>
        </w:tc>
        <w:tc>
          <w:p w14:paraId="0010009E" w14:textId="0010009F">
            <w:r>
              <w:t xml:space="preserve">Number of online courses completed</w:t>
            </w:r>
          </w:p>
        </w:tc>
      </w:tr>
      <w:tr>
        <w:trPr/>
        <w:tc>
          <w:p w14:paraId="001000A0" w14:textId="001000A1">
            <w:r>
              <w:t xml:space="preserve">Discussions</w:t>
            </w:r>
          </w:p>
        </w:tc>
        <w:tc>
          <w:p w14:paraId="001000A2" w14:textId="001000A3">
            <w:r>
              <w:t xml:space="preserve">Binary</w:t>
            </w:r>
          </w:p>
        </w:tc>
        <w:tc>
          <w:p w14:paraId="001000A4" w14:textId="001000A5">
            <w:r>
              <w:t xml:space="preserve">0, 1</w:t>
            </w:r>
          </w:p>
        </w:tc>
        <w:tc>
          <w:p w14:paraId="001000A6" w14:textId="001000A7">
            <w:r>
              <w:t xml:space="preserve">Participation in academic discussions</w:t>
            </w:r>
          </w:p>
        </w:tc>
      </w:tr>
      <w:tr>
        <w:trPr/>
        <w:tc>
          <w:p w14:paraId="001000A8" w14:textId="001000A9">
            <w:r>
              <w:t xml:space="preserve">AssignmentCompletion</w:t>
            </w:r>
          </w:p>
        </w:tc>
        <w:tc>
          <w:p w14:paraId="001000AA" w14:textId="001000AB">
            <w:r>
              <w:t xml:space="preserve">Continuous</w:t>
            </w:r>
          </w:p>
        </w:tc>
        <w:tc>
          <w:p w14:paraId="001000AC" w14:textId="001000AD">
            <w:r>
              <w:t xml:space="preserve">50 – 100</w:t>
            </w:r>
          </w:p>
        </w:tc>
        <w:tc>
          <w:p w14:paraId="001000AE" w14:textId="001000AF">
            <w:r>
              <w:t xml:space="preserve">Percentage of assignments completed</w:t>
            </w:r>
          </w:p>
        </w:tc>
      </w:tr>
      <w:tr>
        <w:trPr/>
        <w:tc>
          <w:p w14:paraId="001000B0" w14:textId="001000B1">
            <w:r>
              <w:t xml:space="preserve">ExamScore</w:t>
            </w:r>
          </w:p>
        </w:tc>
        <w:tc>
          <w:p w14:paraId="001000B2" w14:textId="001000B3">
            <w:r>
              <w:t xml:space="preserve">Continuous (TARGET)</w:t>
            </w:r>
          </w:p>
        </w:tc>
        <w:tc>
          <w:p w14:paraId="001000B4" w14:textId="001000B5">
            <w:r>
              <w:t xml:space="preserve">40 – 100</w:t>
            </w:r>
          </w:p>
        </w:tc>
        <w:tc>
          <w:p w14:paraId="001000B6" w14:textId="001000B7">
            <w:r>
              <w:t xml:space="preserve">Final examination score — regression target</w:t>
            </w:r>
          </w:p>
        </w:tc>
      </w:tr>
      <w:tr>
        <w:trPr/>
        <w:tc>
          <w:p w14:paraId="001000B8" w14:textId="001000B9">
            <w:r>
              <w:t xml:space="preserve">EduTech</w:t>
            </w:r>
          </w:p>
        </w:tc>
        <w:tc>
          <w:p w14:paraId="001000BA" w14:textId="001000BB">
            <w:r>
              <w:t xml:space="preserve">Binary</w:t>
            </w:r>
          </w:p>
        </w:tc>
        <w:tc>
          <w:p w14:paraId="001000BC" w14:textId="001000BD">
            <w:r>
              <w:t xml:space="preserve">0, 1</w:t>
            </w:r>
          </w:p>
        </w:tc>
        <w:tc>
          <w:p w14:paraId="001000BE" w14:textId="001000BF">
            <w:r>
              <w:t xml:space="preserve">Use of educational technology platforms</w:t>
            </w:r>
          </w:p>
        </w:tc>
      </w:tr>
      <w:tr>
        <w:trPr/>
        <w:tc>
          <w:p w14:paraId="001000C0" w14:textId="001000C1">
            <w:r>
              <w:t xml:space="preserve">StressLevel</w:t>
            </w:r>
          </w:p>
        </w:tc>
        <w:tc>
          <w:p w14:paraId="001000C2" w14:textId="001000C3">
            <w:r>
              <w:t xml:space="preserve">Ordinal</w:t>
            </w:r>
          </w:p>
        </w:tc>
        <w:tc>
          <w:p w14:paraId="001000C4" w14:textId="001000C5">
            <w:r>
              <w:t xml:space="preserve">0, 1, 2</w:t>
            </w:r>
          </w:p>
        </w:tc>
        <w:tc>
          <w:p w14:paraId="001000C6" w14:textId="001000C7">
            <w:r>
              <w:t xml:space="preserve">Self-reported stress level (0=Low, 1=Medium, 2=High)</w:t>
            </w:r>
          </w:p>
        </w:tc>
      </w:tr>
      <w:tr>
        <w:trPr/>
        <w:tc>
          <w:p w14:paraId="001000C8" w14:textId="001000C9">
            <w:r>
              <w:t xml:space="preserve">FinalGrade</w:t>
            </w:r>
          </w:p>
        </w:tc>
        <w:tc>
          <w:p w14:paraId="001000CA" w14:textId="001000CB">
            <w:r>
              <w:t xml:space="preserve">Derived / Excluded</w:t>
            </w:r>
          </w:p>
        </w:tc>
        <w:tc>
          <w:p w14:paraId="001000CC" w14:textId="001000CD">
            <w:r>
              <w:t xml:space="preserve">0=A, 1=B, 2=C, 3=F</w:t>
            </w:r>
          </w:p>
        </w:tc>
        <w:tc>
          <w:p w14:paraId="001000CE" w14:textId="001000CF">
            <w:r>
              <w:t xml:space="preserve">Grade band derived from ExamScore — excluded to prevent data leakage</w:t>
            </w:r>
          </w:p>
        </w:tc>
      </w:tr>
    </w:tbl>
    <w:p w14:paraId="001000D0" w14:textId="001000D1">
      <w:pPr>
        <w:pStyle w:val="Normal"/>
        <w:spacing w:after="200"/>
        <w:jc w:val="center"/>
      </w:pPr>
      <w:r>
        <w:rPr>
          <w:sz w:val="20"/>
        </w:rPr>
        <w:t xml:space="preserve">Table 1: Dataset column descriptions (verified from executed notebook)</w:t>
      </w:r>
    </w:p>
    <w:p w14:paraId="001000D2" w14:textId="001000D3">
      <w:pPr>
        <w:pStyle w:val="Heading2"/>
        <w:spacing w:before="200" w:after="80"/>
      </w:pPr>
      <w:r>
        <w:rPr>
          <w:b/>
          <w:sz w:val="26"/>
        </w:rPr>
        <w:t xml:space="preserve">4.3 Target Variable</w:t>
      </w:r>
    </w:p>
    <w:p w14:paraId="001000D4" w14:textId="001000D5">
      <w:pPr>
        <w:pStyle w:val="Normal"/>
        <w:spacing w:after="120"/>
      </w:pPr>
      <w:r>
        <w:rPr>
          <w:sz w:val="22"/>
        </w:rPr>
        <w:t xml:space="preserve">The regression target is ExamScore (continuous, range 40–100, mean 70.35, std 17.69). FinalGrade is a derived categorical encoding of ExamScore (A: 85–100, B: 70–84, C: 55–69, F: 40–54) and is excluded from all model features to prevent data leakage. The grade distribution in the cleaned dataset is: Grade A 27.3%, Grade B 23.6%, Grade C 25.8%, Grade F 23.3% — approximately balanced across all four categories.</w:t>
      </w:r>
    </w:p>
    <w:p w14:paraId="001000D6" w14:textId="001000D7">
      <w:pPr>
        <w:pStyle w:val="Heading1"/>
        <w:spacing w:before="280" w:after="120"/>
      </w:pPr>
      <w:r>
        <w:rPr>
          <w:b/>
          <w:sz w:val="32"/>
        </w:rPr>
        <w:t xml:space="preserve">5. Technologies and Tools</w:t>
      </w:r>
    </w:p>
    <w:p w14:paraId="001000D8" w14:textId="001000D9">
      <w:pPr>
        <w:pStyle w:val="Normal"/>
        <w:spacing w:after="80"/>
      </w:pPr>
      <w:r>
        <w:rPr>
          <w:sz w:val="22"/>
        </w:rPr>
        <w:t xml:space="preserve">All project work is implemented in Python 3 within a single Jupyter Notebook. The following packages were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A" w14:textId="001000DB">
            <w:r>
              <w:t xml:space="preserve">Library</w:t>
            </w:r>
          </w:p>
        </w:tc>
        <w:tc>
          <w:p w14:paraId="001000DC" w14:textId="001000DD">
            <w:r>
              <w:t xml:space="preserve">Version (at execution)</w:t>
            </w:r>
          </w:p>
        </w:tc>
        <w:tc>
          <w:p w14:paraId="001000DE" w14:textId="001000DF">
            <w:r>
              <w:t xml:space="preserve">Purpose</w:t>
            </w:r>
          </w:p>
        </w:tc>
      </w:tr>
      <w:tr>
        <w:trPr/>
        <w:tc>
          <w:p w14:paraId="001000E0" w14:textId="001000E1">
            <w:r>
              <w:t xml:space="preserve">Python</w:t>
            </w:r>
          </w:p>
        </w:tc>
        <w:tc>
          <w:p w14:paraId="001000E2" w14:textId="001000E3">
            <w:r>
              <w:t xml:space="preserve">3.x</w:t>
            </w:r>
          </w:p>
        </w:tc>
        <w:tc>
          <w:p w14:paraId="001000E4" w14:textId="001000E5">
            <w:r>
              <w:t xml:space="preserve">Core programming language</w:t>
            </w:r>
          </w:p>
        </w:tc>
      </w:tr>
      <w:tr>
        <w:trPr/>
        <w:tc>
          <w:p w14:paraId="001000E6" w14:textId="001000E7">
            <w:r>
              <w:t xml:space="preserve">NumPy</w:t>
            </w:r>
          </w:p>
        </w:tc>
        <w:tc>
          <w:p w14:paraId="001000E8" w14:textId="001000E9">
            <w:r>
              <w:t xml:space="preserve">2.5.3</w:t>
            </w:r>
          </w:p>
        </w:tc>
        <w:tc>
          <w:p w14:paraId="001000EA" w14:textId="001000EB">
            <w:r>
              <w:t xml:space="preserve">Numerical array operations, random seed control</w:t>
            </w:r>
          </w:p>
        </w:tc>
      </w:tr>
      <w:tr>
        <w:trPr/>
        <w:tc>
          <w:p w14:paraId="001000EC" w14:textId="001000ED">
            <w:r>
              <w:t xml:space="preserve">pandas</w:t>
            </w:r>
          </w:p>
        </w:tc>
        <w:tc>
          <w:p w14:paraId="001000EE" w14:textId="001000EF">
            <w:r>
              <w:t xml:space="preserve">3.0.6</w:t>
            </w:r>
          </w:p>
        </w:tc>
        <w:tc>
          <w:p w14:paraId="001000F0" w14:textId="001000F1">
            <w:r>
              <w:t xml:space="preserve">Data loading, manipulation, grouping, and display</w:t>
            </w:r>
          </w:p>
        </w:tc>
      </w:tr>
      <w:tr>
        <w:trPr/>
        <w:tc>
          <w:p w14:paraId="001000F2" w14:textId="001000F3">
            <w:r>
              <w:t xml:space="preserve">Matplotlib</w:t>
            </w:r>
          </w:p>
        </w:tc>
        <w:tc>
          <w:p w14:paraId="001000F4" w14:textId="001000F5">
            <w:r>
              <w:t xml:space="preserve">3.11.1</w:t>
            </w:r>
          </w:p>
        </w:tc>
        <w:tc>
          <w:p w14:paraId="001000F6" w14:textId="001000F7">
            <w:r>
              <w:t xml:space="preserve">Base plotting library for all figures</w:t>
            </w:r>
          </w:p>
        </w:tc>
      </w:tr>
      <w:tr>
        <w:trPr/>
        <w:tc>
          <w:p w14:paraId="001000F8" w14:textId="001000F9">
            <w:r>
              <w:t xml:space="preserve">Seaborn</w:t>
            </w:r>
          </w:p>
        </w:tc>
        <w:tc>
          <w:p w14:paraId="001000FA" w14:textId="001000FB">
            <w:r>
              <w:t xml:space="preserve">0.13.2</w:t>
            </w:r>
          </w:p>
        </w:tc>
        <w:tc>
          <w:p w14:paraId="001000FC" w14:textId="001000FD">
            <w:r>
              <w:t xml:space="preserve">Statistical visualisation (box plots, heatmaps, violin plots)</w:t>
            </w:r>
          </w:p>
        </w:tc>
      </w:tr>
      <w:tr>
        <w:trPr/>
        <w:tc>
          <w:p w14:paraId="001000FE" w14:textId="001000FF">
            <w:r>
              <w:t xml:space="preserve">SciPy</w:t>
            </w:r>
          </w:p>
        </w:tc>
        <w:tc>
          <w:p w14:paraId="00100100" w14:textId="00100101">
            <w:r>
              <w:t xml:space="preserve">1.18.0</w:t>
            </w:r>
          </w:p>
        </w:tc>
        <w:tc>
          <w:p w14:paraId="00100102" w14:textId="00100103">
            <w:r>
              <w:t xml:space="preserve">ANOVA, Chi-Square, point-biserial correlation, Q-Q plot</w:t>
            </w:r>
          </w:p>
        </w:tc>
      </w:tr>
      <w:tr>
        <w:trPr/>
        <w:tc>
          <w:p w14:paraId="00100104" w14:textId="00100105">
            <w:r>
              <w:t xml:space="preserve">scikit-learn</w:t>
            </w:r>
          </w:p>
        </w:tc>
        <w:tc>
          <w:p w14:paraId="00100106" w14:textId="00100107">
            <w:r>
              <w:t xml:space="preserve">1.9.1</w:t>
            </w:r>
          </w:p>
        </w:tc>
        <w:tc>
          <w:p w14:paraId="00100108" w14:textId="00100109">
            <w:r>
              <w:t xml:space="preserve">Model training, cross-validation, scaling, evaluation metrics</w:t>
            </w:r>
          </w:p>
        </w:tc>
      </w:tr>
      <w:tr>
        <w:trPr/>
        <w:tc>
          <w:p w14:paraId="0010010A" w14:textId="0010010B">
            <w:r>
              <w:t xml:space="preserve">Jupyter Notebook</w:t>
            </w:r>
          </w:p>
        </w:tc>
        <w:tc>
          <w:p w14:paraId="0010010C" w14:textId="0010010D">
            <w:r>
              <w:t xml:space="preserve">7.x</w:t>
            </w:r>
          </w:p>
        </w:tc>
        <w:tc>
          <w:p w14:paraId="0010010E" w14:textId="0010010F">
            <w:r>
              <w:t xml:space="preserve">Interactive notebook environment for execution and presentation</w:t>
            </w:r>
          </w:p>
        </w:tc>
      </w:tr>
    </w:tbl>
    <w:p w14:paraId="00100110" w14:textId="00100111">
      <w:pPr>
        <w:pStyle w:val="Normal"/>
        <w:spacing w:after="200"/>
        <w:jc w:val="center"/>
      </w:pPr>
      <w:r>
        <w:rPr>
          <w:sz w:val="20"/>
        </w:rPr>
        <w:t xml:space="preserve">Table 2: Libraries and tools used in the project</w:t>
      </w:r>
    </w:p>
    <w:p w14:paraId="00100112" w14:textId="00100113">
      <w:pPr>
        <w:pStyle w:val="Heading1"/>
        <w:spacing w:before="280" w:after="120"/>
      </w:pPr>
      <w:r>
        <w:rPr>
          <w:b/>
          <w:sz w:val="32"/>
        </w:rPr>
        <w:t xml:space="preserve">6. Data Preprocessing</w:t>
      </w:r>
    </w:p>
    <w:p w14:paraId="00100114" w14:textId="00100115">
      <w:pPr>
        <w:pStyle w:val="Heading2"/>
        <w:spacing w:before="200" w:after="80"/>
      </w:pPr>
      <w:r>
        <w:rPr>
          <w:b/>
          <w:sz w:val="26"/>
        </w:rPr>
        <w:t xml:space="preserve">6.1 Missing Value Audit</w:t>
      </w:r>
    </w:p>
    <w:p w14:paraId="00100116" w14:textId="00100117">
      <w:pPr>
        <w:pStyle w:val="Normal"/>
        <w:spacing w:after="120"/>
      </w:pPr>
      <w:r>
        <w:rPr>
          <w:sz w:val="22"/>
        </w:rPr>
        <w:t xml:space="preserve">A systematic check confirmed zero missing values across all 16 columns. All 14,003 cells in every column are populated. No imputation was required.</w:t>
      </w:r>
    </w:p>
    <w:p w14:paraId="00100118" w14:textId="00100119">
      <w:pPr>
        <w:pStyle w:val="Heading2"/>
        <w:spacing w:before="200" w:after="80"/>
      </w:pPr>
      <w:r>
        <w:rPr>
          <w:b/>
          <w:sz w:val="26"/>
        </w:rPr>
        <w:t xml:space="preserve">6.2 Duplicate Row Removal</w:t>
      </w:r>
    </w:p>
    <w:p w14:paraId="0010011A" w14:textId="0010011B">
      <w:pPr>
        <w:pStyle w:val="Normal"/>
        <w:spacing w:after="120"/>
      </w:pPr>
      <w:r>
        <w:rPr>
          <w:sz w:val="22"/>
        </w:rPr>
        <w:t xml:space="preserve">A total of 1,534 exact duplicate rows were identified, representing 10.95% of the raw dataset. These were removed using pandas drop_duplicates(), reducing the dataset to 12,469 unique records. The grade distribution was verified to be preserved after deduplication, with Grade A at 27.3%, Grade B at 23.6%, Grade C at 25.8%, and Grade F at 23.3% — confirming no systematic bias was introduced by the removal.</w:t>
      </w:r>
    </w:p>
    <w:p w14:paraId="0010011C" w14:textId="0010011D">
      <w:pPr>
        <w:pStyle w:val="Heading2"/>
        <w:spacing w:before="200" w:after="80"/>
      </w:pPr>
      <w:r>
        <w:rPr>
          <w:b/>
          <w:sz w:val="26"/>
        </w:rPr>
        <w:t xml:space="preserve">6.3 Value Range Validation</w:t>
      </w:r>
    </w:p>
    <w:p w14:paraId="0010011E" w14:textId="0010011F">
      <w:pPr>
        <w:pStyle w:val="Normal"/>
        <w:spacing w:after="120"/>
      </w:pPr>
      <w:r>
        <w:rPr>
          <w:sz w:val="22"/>
        </w:rPr>
        <w:t xml:space="preserve">All 16 columns were checked against expected domain bounds (e.g. ExamScore in [0,100], Attendance in [0,100], binary columns in {0,1}, ordinal columns within their valid ranges). Zero range violations were found across all columns, confirming data integrity.</w:t>
      </w:r>
    </w:p>
    <w:p w14:paraId="00100120" w14:textId="00100121">
      <w:pPr>
        <w:pStyle w:val="Heading2"/>
        <w:spacing w:before="200" w:after="80"/>
      </w:pPr>
      <w:r>
        <w:rPr>
          <w:b/>
          <w:sz w:val="26"/>
        </w:rPr>
        <w:t xml:space="preserve">6.4 Feature Encoding</w:t>
      </w:r>
    </w:p>
    <w:p w14:paraId="00100122" w14:textId="00100123">
      <w:pPr>
        <w:pStyle w:val="Normal"/>
        <w:spacing w:after="120"/>
      </w:pPr>
      <w:r>
        <w:rPr>
          <w:sz w:val="22"/>
        </w:rPr>
        <w:t xml:space="preserve">All features are already integer-encoded in the raw dataset. A decoded visualisation copy (df_vis) was created by mapping integer codes back to human-readable labels for EDA plots. This copy was not used in any model training. Continuous features were standardised (zero mean, unit variance) for the Linear Regression model only; tree-based models used the unscaled integer features directly, as they are invariant to feature scaling.</w:t>
      </w:r>
    </w:p>
    <w:p w14:paraId="00100124" w14:textId="00100125">
      <w:pPr>
        <w:pStyle w:val="Heading1"/>
        <w:spacing w:before="280" w:after="120"/>
      </w:pPr>
      <w:r>
        <w:rPr>
          <w:b/>
          <w:sz w:val="32"/>
        </w:rPr>
        <w:t xml:space="preserve">7. Exploratory Data Analysis</w:t>
      </w:r>
    </w:p>
    <w:p w14:paraId="00100126" w14:textId="00100127">
      <w:pPr>
        <w:pStyle w:val="Normal"/>
        <w:spacing w:after="120"/>
      </w:pPr>
      <w:r>
        <w:rPr>
          <w:sz w:val="22"/>
        </w:rPr>
        <w:t xml:space="preserve">The EDA was structured in four parts: (A) target variable analysis, (B) univariate analysis of individual features, (C) bivariate analysis of features versus performance, and (D) multivariate analysis including a full correlation heatmap and interaction effects.</w:t>
      </w:r>
    </w:p>
    <w:p w14:paraId="00100128" w14:textId="00100129">
      <w:pPr>
        <w:pStyle w:val="Heading2"/>
        <w:spacing w:before="200" w:after="80"/>
      </w:pPr>
      <w:r>
        <w:rPr>
          <w:b/>
          <w:sz w:val="26"/>
        </w:rPr>
        <w:t xml:space="preserve">7.1 Target Variable: ExamScore and FinalGrade</w:t>
      </w:r>
    </w:p>
    <w:p w14:paraId="0010012A" w14:textId="0010012B">
      <w:pPr>
        <w:pStyle w:val="Normal"/>
        <w:spacing w:after="120"/>
      </w:pPr>
      <w:r>
        <w:rPr>
          <w:sz w:val="22"/>
        </w:rPr>
        <w:t xml:space="preserve">ExamScore ranges from 40 to 100 with a mean of 70.31 and standard deviation of 17.70. The distribution is approximately flat across the four non-overlapping grade bands. Mean exam scores per grade are: Grade A = 92.57, Grade B = 77.07, Grade C = 61.88, Grade F = 46.75. These bands correspond to perfectly deterministic score ranges (FinalGrade is a binning of ExamScore), which is expected for a synthetic dataset.</w:t>
      </w:r>
    </w:p>
    <w:p w14:paraId="0010012C" w14:textId="0010012D">
      <w:pPr>
        <w:pStyle w:val="Heading2"/>
        <w:spacing w:before="200" w:after="80"/>
      </w:pPr>
      <w:r>
        <w:rPr>
          <w:b/>
          <w:sz w:val="26"/>
        </w:rPr>
        <w:t xml:space="preserve">7.2 Univariate Analysis</w:t>
      </w:r>
    </w:p>
    <w:p w14:paraId="0010012E" w14:textId="0010012F">
      <w:pPr>
        <w:pStyle w:val="Normal"/>
        <w:spacing w:after="80"/>
      </w:pPr>
      <w:r>
        <w:rPr>
          <w:sz w:val="22"/>
        </w:rPr>
        <w:t xml:space="preserve">Continuous features: StudyHours (mean 19.99, range 5–44), Attendance (mean 80.19, range 60–100), AssignmentCompletion (mean 74.50, range 50–100), Age (mean 23.53, range 18–29), and OnlineCourses (mean 9.89, range 0–20) all display relatively flat, uniform-like distributions — consistent with synthetic generation.</w:t>
      </w:r>
    </w:p>
    <w:p w14:paraId="00100130" w14:textId="00100131">
      <w:pPr>
        <w:pStyle w:val="Normal"/>
        <w:spacing w:after="120"/>
      </w:pPr>
      <w:r>
        <w:rPr>
          <w:sz w:val="22"/>
        </w:rPr>
        <w:t xml:space="preserve">Categorical features: Internet access is heavily skewed toward 1 (92.6% of students have access). EduTech usage is 70.9%. Discussions participation is 60.6%. Gender is approximately balanced (55.2% male). StressLevel is skewed toward High (50.7% at level 2). LearningStyle is evenly distributed across four styles (approximately 25% each).</w:t>
      </w:r>
    </w:p>
    <w:p w14:paraId="00100132" w14:textId="00100133">
      <w:pPr>
        <w:pStyle w:val="Heading2"/>
        <w:spacing w:before="200" w:after="80"/>
      </w:pPr>
      <w:r>
        <w:rPr>
          <w:b/>
          <w:sz w:val="26"/>
        </w:rPr>
        <w:t xml:space="preserve">7.3 Bivariate Analysis: Features versus ExamScore</w:t>
      </w:r>
    </w:p>
    <w:p w14:paraId="00100134" w14:textId="00100135">
      <w:pPr>
        <w:pStyle w:val="Normal"/>
        <w:spacing w:after="80"/>
      </w:pPr>
      <w:r>
        <w:rPr>
          <w:sz w:val="22"/>
        </w:rPr>
        <w:t xml:space="preserve">A critical finding from bivariate analysis is that no individual feature has a meaningful linear correlation with ExamScore. Pearson correlations with ExamScore include: AssignmentCompletion r = 0.027, StudyHours r = 0.004, Attendance r = -0.014. The strongest correlation with FinalGrade (the derived grade) belongs to ExamScore itself at r = -0.968 (negative because higher scores map to lower grade codes: 0=A).</w:t>
      </w:r>
    </w:p>
    <w:p w14:paraId="00100136" w14:textId="00100137">
      <w:pPr>
        <w:pStyle w:val="Normal"/>
        <w:spacing w:after="120"/>
      </w:pPr>
      <w:r>
        <w:rPr>
          <w:sz w:val="22"/>
        </w:rPr>
        <w:t xml:space="preserve">Mean feature values are nearly identical across grade groups, as shown in Table 3 below. This confirms that, in this synthetic dataset, grade category is not meaningfully differentiated by individual behavioural variables — all variation in ExamScore is effectively unsystematic relative to the available features.</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38" w14:textId="00100139">
            <w:r>
              <w:t xml:space="preserve">Grade Group</w:t>
            </w:r>
          </w:p>
        </w:tc>
        <w:tc>
          <w:p w14:paraId="0010013A" w14:textId="0010013B">
            <w:r>
              <w:t xml:space="preserve">StudyHours (mean)</w:t>
            </w:r>
          </w:p>
        </w:tc>
        <w:tc>
          <w:p w14:paraId="0010013C" w14:textId="0010013D">
            <w:r>
              <w:t xml:space="preserve">Attendance (mean)</w:t>
            </w:r>
          </w:p>
        </w:tc>
        <w:tc>
          <w:p w14:paraId="0010013E" w14:textId="0010013F">
            <w:r>
              <w:t xml:space="preserve">AssignmentCompletion (mean)</w:t>
            </w:r>
          </w:p>
        </w:tc>
        <w:tc>
          <w:p w14:paraId="00100140" w14:textId="00100141">
            <w:r>
              <w:t xml:space="preserve">OnlineCourses (mean)</w:t>
            </w:r>
          </w:p>
        </w:tc>
        <w:tc>
          <w:p w14:paraId="00100142" w14:textId="00100143">
            <w:r>
              <w:t xml:space="preserve">ExamScore (mean)</w:t>
            </w:r>
          </w:p>
        </w:tc>
      </w:tr>
      <w:tr>
        <w:trPr/>
        <w:tc>
          <w:p w14:paraId="00100144" w14:textId="00100145">
            <w:r>
              <w:t xml:space="preserve">Grade A (0)</w:t>
            </w:r>
          </w:p>
        </w:tc>
        <w:tc>
          <w:p w14:paraId="00100146" w14:textId="00100147">
            <w:r>
              <w:t xml:space="preserve">20.12</w:t>
            </w:r>
          </w:p>
        </w:tc>
        <w:tc>
          <w:p w14:paraId="00100148" w14:textId="00100149">
            <w:r>
              <w:t xml:space="preserve">80.11</w:t>
            </w:r>
          </w:p>
        </w:tc>
        <w:tc>
          <w:p w14:paraId="0010014A" w14:textId="0010014B">
            <w:r>
              <w:t xml:space="preserve">75.05</w:t>
            </w:r>
          </w:p>
        </w:tc>
        <w:tc>
          <w:p w14:paraId="0010014C" w14:textId="0010014D">
            <w:r>
              <w:t xml:space="preserve">10.00</w:t>
            </w:r>
          </w:p>
        </w:tc>
        <w:tc>
          <w:p w14:paraId="0010014E" w14:textId="0010014F">
            <w:r>
              <w:t xml:space="preserve">92.57</w:t>
            </w:r>
          </w:p>
        </w:tc>
      </w:tr>
      <w:tr>
        <w:trPr/>
        <w:tc>
          <w:p w14:paraId="00100150" w14:textId="00100151">
            <w:r>
              <w:t xml:space="preserve">Grade B (1)</w:t>
            </w:r>
          </w:p>
        </w:tc>
        <w:tc>
          <w:p w14:paraId="00100152" w14:textId="00100153">
            <w:r>
              <w:t xml:space="preserve">20.02</w:t>
            </w:r>
          </w:p>
        </w:tc>
        <w:tc>
          <w:p w14:paraId="00100154" w14:textId="00100155">
            <w:r>
              <w:t xml:space="preserve">80.44</w:t>
            </w:r>
          </w:p>
        </w:tc>
        <w:tc>
          <w:p w14:paraId="00100156" w14:textId="00100157">
            <w:r>
              <w:t xml:space="preserve">74.55</w:t>
            </w:r>
          </w:p>
        </w:tc>
        <w:tc>
          <w:p w14:paraId="00100158" w14:textId="00100159">
            <w:r>
              <w:t xml:space="preserve">9.88</w:t>
            </w:r>
          </w:p>
        </w:tc>
        <w:tc>
          <w:p w14:paraId="0010015A" w14:textId="0010015B">
            <w:r>
              <w:t xml:space="preserve">77.07</w:t>
            </w:r>
          </w:p>
        </w:tc>
      </w:tr>
      <w:tr>
        <w:trPr/>
        <w:tc>
          <w:p w14:paraId="0010015C" w14:textId="0010015D">
            <w:r>
              <w:t xml:space="preserve">Grade C (2)</w:t>
            </w:r>
          </w:p>
        </w:tc>
        <w:tc>
          <w:p w14:paraId="0010015E" w14:textId="0010015F">
            <w:r>
              <w:t xml:space="preserve">20.02</w:t>
            </w:r>
          </w:p>
        </w:tc>
        <w:tc>
          <w:p w14:paraId="00100160" w14:textId="00100161">
            <w:r>
              <w:t xml:space="preserve">79.71</w:t>
            </w:r>
          </w:p>
        </w:tc>
        <w:tc>
          <w:p w14:paraId="00100162" w14:textId="00100163">
            <w:r>
              <w:t xml:space="preserve">74.70</w:t>
            </w:r>
          </w:p>
        </w:tc>
        <w:tc>
          <w:p w14:paraId="00100164" w14:textId="00100165">
            <w:r>
              <w:t xml:space="preserve">9.96</w:t>
            </w:r>
          </w:p>
        </w:tc>
        <w:tc>
          <w:p w14:paraId="00100166" w14:textId="00100167">
            <w:r>
              <w:t xml:space="preserve">61.88</w:t>
            </w:r>
          </w:p>
        </w:tc>
      </w:tr>
      <w:tr>
        <w:trPr/>
        <w:tc>
          <w:p w14:paraId="00100168" w14:textId="00100169">
            <w:r>
              <w:t xml:space="preserve">Grade F (3)</w:t>
            </w:r>
          </w:p>
        </w:tc>
        <w:tc>
          <w:p w14:paraId="0010016A" w14:textId="0010016B">
            <w:r>
              <w:t xml:space="preserve">19.96</w:t>
            </w:r>
          </w:p>
        </w:tc>
        <w:tc>
          <w:p w14:paraId="0010016C" w14:textId="0010016D">
            <w:r>
              <w:t xml:space="preserve">80.76</w:t>
            </w:r>
          </w:p>
        </w:tc>
        <w:tc>
          <w:p w14:paraId="0010016E" w14:textId="0010016F">
            <w:r>
              <w:t xml:space="preserve">73.65</w:t>
            </w:r>
          </w:p>
        </w:tc>
        <w:tc>
          <w:p w14:paraId="00100170" w14:textId="00100171">
            <w:r>
              <w:t xml:space="preserve">9.61</w:t>
            </w:r>
          </w:p>
        </w:tc>
        <w:tc>
          <w:p w14:paraId="00100172" w14:textId="00100173">
            <w:r>
              <w:t xml:space="preserve">46.75</w:t>
            </w:r>
          </w:p>
        </w:tc>
      </w:tr>
      <w:tr>
        <w:trPr/>
        <w:tc>
          <w:p w14:paraId="00100174" w14:textId="00100175">
            <w:r>
              <w:t xml:space="preserve">Overall</w:t>
            </w:r>
          </w:p>
        </w:tc>
        <w:tc>
          <w:p w14:paraId="00100176" w14:textId="00100177">
            <w:r>
              <w:t xml:space="preserve">20.03</w:t>
            </w:r>
          </w:p>
        </w:tc>
        <w:tc>
          <w:p w14:paraId="00100178" w14:textId="00100179">
            <w:r>
              <w:t xml:space="preserve">80.22</w:t>
            </w:r>
          </w:p>
        </w:tc>
        <w:tc>
          <w:p w14:paraId="0010017A" w14:textId="0010017B">
            <w:r>
              <w:t xml:space="preserve">74.53</w:t>
            </w:r>
          </w:p>
        </w:tc>
        <w:tc>
          <w:p w14:paraId="0010017C" w14:textId="0010017D">
            <w:r>
              <w:t xml:space="preserve">9.87</w:t>
            </w:r>
          </w:p>
        </w:tc>
        <w:tc>
          <w:p w14:paraId="0010017E" w14:textId="0010017F">
            <w:r>
              <w:t xml:space="preserve">70.31</w:t>
            </w:r>
          </w:p>
        </w:tc>
      </w:tr>
    </w:tbl>
    <w:p w14:paraId="00100180" w14:textId="00100181">
      <w:pPr>
        <w:pStyle w:val="Normal"/>
        <w:spacing w:after="120"/>
        <w:jc w:val="center"/>
      </w:pPr>
      <w:r>
        <w:rPr>
          <w:sz w:val="20"/>
        </w:rPr>
        <w:t xml:space="preserve">Table 3: Mean feature values per grade group (df_clean, n=12,469). Note near-identical values across grade groups for all behavioural features.</w:t>
      </w:r>
    </w:p>
    <w:p w14:paraId="00100182" w14:textId="00100183">
      <w:pPr>
        <w:pStyle w:val="Heading2"/>
        <w:spacing w:before="200" w:after="80"/>
      </w:pPr>
      <w:r>
        <w:rPr>
          <w:b/>
          <w:sz w:val="26"/>
        </w:rPr>
        <w:t xml:space="preserve">7.4 Statistical Hypothesis Tests</w:t>
      </w:r>
    </w:p>
    <w:p w14:paraId="00100184" w14:textId="00100185">
      <w:pPr>
        <w:pStyle w:val="Normal"/>
        <w:spacing w:after="80"/>
      </w:pPr>
      <w:r>
        <w:rPr>
          <w:sz w:val="22"/>
        </w:rPr>
        <w:t xml:space="preserve">Three formal hypothesis tests were conducted on the cleaned dataset (n=12,469):</w:t>
      </w:r>
    </w:p>
    <w:p w14:paraId="00100186" w14:textId="00100187">
      <w:pPr>
        <w:pStyle w:val="Normal"/>
        <w:numPr>
          <w:ilvl w:val="0"/>
          <w:numId w:val="2"/>
        </w:numPr>
        <w:spacing w:after="80"/>
      </w:pPr>
      <w:r>
        <w:rPr>
          <w:sz w:val="22"/>
        </w:rPr>
        <w:t xml:space="preserve">One-Way ANOVA (continuous features vs FinalGrade): Attendance (F=4.74, p=0.003) and AssignmentCompletion (F=5.03, p=0.002) showed statistically significant differences across grade groups. StudyHours (F=0.38, p=0.77), Age (F=1.72, p=0.16), and OnlineCourses (F=2.48, p=0.06) did not reach significance. Note: with n=12,469, even very small practical differences can achieve statistical significance. The F-statistics are small, indicating minimal practical effect.</w:t>
      </w:r>
    </w:p>
    <w:p w14:paraId="00100188" w14:textId="00100189">
      <w:pPr>
        <w:pStyle w:val="Normal"/>
        <w:numPr>
          <w:ilvl w:val="0"/>
          <w:numId w:val="2"/>
        </w:numPr>
        <w:spacing w:after="80"/>
      </w:pPr>
      <w:r>
        <w:rPr>
          <w:sz w:val="22"/>
        </w:rPr>
        <w:t xml:space="preserve">Chi-Square Test (categorical features vs FinalGrade): LearningStyle (chi2=32.75, p&lt;0.001), Discussions (chi2=26.29, p&lt;0.001), and StressLevel (chi2=42.08, p&lt;0.001) showed statistically significant associations with grade. Resources, Extracurricular, Motivation, Internet, Gender, and EduTech were not significant.</w:t>
      </w:r>
    </w:p>
    <w:p w14:paraId="0010018A" w14:textId="0010018B">
      <w:pPr>
        <w:pStyle w:val="Normal"/>
        <w:numPr>
          <w:ilvl w:val="0"/>
          <w:numId w:val="2"/>
        </w:numPr>
        <w:spacing w:after="120"/>
      </w:pPr>
      <w:r>
        <w:rPr>
          <w:sz w:val="22"/>
        </w:rPr>
        <w:t xml:space="preserve">Point-Biserial Correlation (binary features vs ExamScore): All binary features had |r| &lt; 0.04. The strongest was Discussions (r = -0.031, p &lt; 0.001) and Gender (r = 0.017, p = 0.061). No binary feature has a meaningful linear relationship with ExamScore.</w:t>
      </w:r>
    </w:p>
    <w:p w14:paraId="0010018C" w14:textId="0010018D">
      <w:pPr>
        <w:pStyle w:val="Normal"/>
        <w:spacing w:after="120"/>
      </w:pPr>
      <w:r>
        <w:rPr>
          <w:sz w:val="22"/>
        </w:rPr>
        <w:t xml:space="preserve">These results are consistent with the synthetic nature of the data: while some associations are statistically detectable at large sample sizes, no individual feature provides practically meaningful predictive signal for exam scores.</w:t>
      </w:r>
    </w:p>
    <w:p w14:paraId="0010018E" w14:textId="0010018F">
      <w:pPr>
        <w:pStyle w:val="Heading1"/>
        <w:spacing w:before="280" w:after="120"/>
      </w:pPr>
      <w:r>
        <w:rPr>
          <w:b/>
          <w:sz w:val="32"/>
        </w:rPr>
        <w:t xml:space="preserve">8. Feature Engineering</w:t>
      </w:r>
    </w:p>
    <w:p w14:paraId="00100190" w14:textId="00100191">
      <w:pPr>
        <w:pStyle w:val="Normal"/>
        <w:spacing w:after="120"/>
      </w:pPr>
      <w:r>
        <w:rPr>
          <w:sz w:val="22"/>
        </w:rPr>
        <w:t xml:space="preserve">Four composite features were engineered to capture multi-dimensional aspects of student engagement and resource access. These features were designed to combine related variables in ways that may capture non-linear interactions not visible through individual feature correlations.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92" w14:textId="00100193">
            <w:r>
              <w:t xml:space="preserve">Feature Name</w:t>
            </w:r>
          </w:p>
        </w:tc>
        <w:tc>
          <w:p w14:paraId="00100194" w14:textId="00100195">
            <w:r>
              <w:t xml:space="preserve">Formula</w:t>
            </w:r>
          </w:p>
        </w:tc>
        <w:tc>
          <w:p w14:paraId="00100196" w14:textId="00100197">
            <w:r>
              <w:t xml:space="preserve">Rationale</w:t>
            </w:r>
          </w:p>
        </w:tc>
        <w:tc>
          <w:p w14:paraId="00100198" w14:textId="00100199">
            <w:r>
              <w:t xml:space="preserve">Pearson r with ExamScore</w:t>
            </w:r>
          </w:p>
        </w:tc>
      </w:tr>
      <w:tr>
        <w:trPr/>
        <w:tc>
          <w:p w14:paraId="0010019A" w14:textId="0010019B">
            <w:r>
              <w:t xml:space="preserve">EngagementScore</w:t>
            </w:r>
          </w:p>
        </w:tc>
        <w:tc>
          <w:p w14:paraId="0010019C" w14:textId="0010019D">
            <w:r>
              <w:t xml:space="preserve">(Discussions + EduTech + Extracurricular + Motivation/2) / 4</w:t>
            </w:r>
          </w:p>
        </w:tc>
        <w:tc>
          <w:p w14:paraId="0010019E" w14:textId="0010019F">
            <w:r>
              <w:t xml:space="preserve">Composite active learning engagement</w:t>
            </w:r>
          </w:p>
        </w:tc>
        <w:tc>
          <w:p w14:paraId="001001A0" w14:textId="001001A1">
            <w:r>
              <w:t xml:space="preserve">-0.0195</w:t>
            </w:r>
          </w:p>
        </w:tc>
      </w:tr>
      <w:tr>
        <w:trPr/>
        <w:tc>
          <w:p w14:paraId="001001A2" w14:textId="001001A3">
            <w:r>
              <w:t xml:space="preserve">DigitalSupportIndex</w:t>
            </w:r>
          </w:p>
        </w:tc>
        <w:tc>
          <w:p w14:paraId="001001A4" w14:textId="001001A5">
            <w:r>
              <w:t xml:space="preserve">Internet + EduTech + Resources</w:t>
            </w:r>
          </w:p>
        </w:tc>
        <w:tc>
          <w:p w14:paraId="001001A6" w14:textId="001001A7">
            <w:r>
              <w:t xml:space="preserve">Combined digital and resource access</w:t>
            </w:r>
          </w:p>
        </w:tc>
        <w:tc>
          <w:p w14:paraId="001001A8" w14:textId="001001A9">
            <w:r>
              <w:t xml:space="preserve">0.0072</w:t>
            </w:r>
          </w:p>
        </w:tc>
      </w:tr>
      <w:tr>
        <w:trPr/>
        <w:tc>
          <w:p w14:paraId="001001AA" w14:textId="001001AB">
            <w:r>
              <w:t xml:space="preserve">AttendAssign</w:t>
            </w:r>
          </w:p>
        </w:tc>
        <w:tc>
          <w:p w14:paraId="001001AC" w14:textId="001001AD">
            <w:r>
              <w:t xml:space="preserve">(Attendance / 100) x (AssignmentCompletion / 100)</w:t>
            </w:r>
          </w:p>
        </w:tc>
        <w:tc>
          <w:p w14:paraId="001001AE" w14:textId="001001AF">
            <w:r>
              <w:t xml:space="preserve">Combined attendance-completion consistency</w:t>
            </w:r>
          </w:p>
        </w:tc>
        <w:tc>
          <w:p w14:paraId="001001B0" w14:textId="001001B1">
            <w:r>
              <w:t xml:space="preserve">0.0151</w:t>
            </w:r>
          </w:p>
        </w:tc>
      </w:tr>
      <w:tr>
        <w:trPr/>
        <w:tc>
          <w:p w14:paraId="001001B2" w14:textId="001001B3">
            <w:r>
              <w:t xml:space="preserve">StudyPerAge</w:t>
            </w:r>
          </w:p>
        </w:tc>
        <w:tc>
          <w:p w14:paraId="001001B4" w14:textId="001001B5">
            <w:r>
              <w:t xml:space="preserve">StudyHours / Age</w:t>
            </w:r>
          </w:p>
        </w:tc>
        <w:tc>
          <w:p w14:paraId="001001B6" w14:textId="001001B7">
            <w:r>
              <w:t xml:space="preserve">Study intensity relative to student age</w:t>
            </w:r>
          </w:p>
        </w:tc>
        <w:tc>
          <w:p w14:paraId="001001B8" w14:textId="001001B9">
            <w:r>
              <w:t xml:space="preserve">0.0081</w:t>
            </w:r>
          </w:p>
        </w:tc>
      </w:tr>
      <w:tr>
        <w:trPr/>
        <w:tc>
          <w:p w14:paraId="001001BA" w14:textId="001001BB"/>
        </w:tc>
        <w:tc>
          <w:p w14:paraId="001001BC" w14:textId="001001BD"/>
        </w:tc>
        <w:tc>
          <w:p w14:paraId="001001BE" w14:textId="001001BF">
            <w:r>
              <w:t xml:space="preserve">All |r| &lt; 0.04 — consistent with original features</w:t>
            </w:r>
          </w:p>
        </w:tc>
        <w:tc>
          <w:p w14:paraId="001001C0" w14:textId="001001C1"/>
        </w:tc>
      </w:tr>
    </w:tbl>
    <w:p w14:paraId="001001C2" w14:textId="001001C3">
      <w:pPr>
        <w:pStyle w:val="Normal"/>
        <w:spacing w:after="120"/>
        <w:jc w:val="center"/>
      </w:pPr>
      <w:r>
        <w:rPr>
          <w:sz w:val="20"/>
        </w:rPr>
        <w:t xml:space="preserve">Table 4: Engineered features, formulae, and individual Pearson correlations with ExamScore</w:t>
      </w:r>
    </w:p>
    <w:p w14:paraId="001001C4" w14:textId="001001C5">
      <w:pPr>
        <w:pStyle w:val="Normal"/>
        <w:spacing w:after="120"/>
      </w:pPr>
      <w:r>
        <w:rPr>
          <w:sz w:val="22"/>
        </w:rPr>
        <w:t xml:space="preserve">Despite low individual linear correlations, the three composite features EngagementScore, AttendAssign, and StudyPerAge collectively ranked among the top five most important features in the Random Forest model (importances of 0.177, 0.166, and 0.143 respectively), suggesting they capture non-linear structural patterns that tree-based models can exploit. FinalGrade was strictly excluded from all model features as it is a deterministic function of the target variable ExamScore.</w:t>
      </w:r>
    </w:p>
    <w:p w14:paraId="001001C6" w14:textId="001001C7">
      <w:pPr>
        <w:pStyle w:val="Heading1"/>
        <w:spacing w:before="280" w:after="120"/>
      </w:pPr>
      <w:r>
        <w:rPr>
          <w:b/>
          <w:sz w:val="32"/>
        </w:rPr>
        <w:t xml:space="preserve">9. Machine Learning Methodology</w:t>
      </w:r>
    </w:p>
    <w:p w14:paraId="001001C8" w14:textId="001001C9">
      <w:pPr>
        <w:pStyle w:val="Heading2"/>
        <w:spacing w:before="200" w:after="80"/>
      </w:pPr>
      <w:r>
        <w:rPr>
          <w:b/>
          <w:sz w:val="26"/>
        </w:rPr>
        <w:t xml:space="preserve">9.1 Problem Framing</w:t>
      </w:r>
    </w:p>
    <w:p w14:paraId="001001CA" w14:textId="001001CB">
      <w:pPr>
        <w:pStyle w:val="Normal"/>
        <w:spacing w:after="120"/>
      </w:pPr>
      <w:r>
        <w:rPr>
          <w:sz w:val="22"/>
        </w:rPr>
        <w:t xml:space="preserve">The prediction task is framed as a supervised regression problem. The target variable is ExamScore (continuous, range 40–100). FinalGrade is excluded to prevent target leakage. The feature matrix comprises 18 columns: 14 original features (excluding FinalGrade and ExamScore) plus 4 engineered features.</w:t>
      </w:r>
    </w:p>
    <w:p w14:paraId="001001CC" w14:textId="001001CD">
      <w:pPr>
        <w:pStyle w:val="Heading2"/>
        <w:spacing w:before="200" w:after="80"/>
      </w:pPr>
      <w:r>
        <w:rPr>
          <w:b/>
          <w:sz w:val="26"/>
        </w:rPr>
        <w:t xml:space="preserve">9.2 Train/Test Split</w:t>
      </w:r>
    </w:p>
    <w:p w14:paraId="001001CE" w14:textId="001001CF">
      <w:pPr>
        <w:pStyle w:val="Normal"/>
        <w:spacing w:after="120"/>
      </w:pPr>
      <w:r>
        <w:rPr>
          <w:sz w:val="22"/>
        </w:rPr>
        <w:t xml:space="preserve">The cleaned dataset (12,469 rows) was split into a training set (80%, n=9,975) and a held-out test set (20%, n=2,494) using stratified random sampling with RANDOM_STATE=42 for full reproducibility. StandardScaler was fitted on the training data only and applied to both training and test sets for the Linear Regression model. Tree-based models used unscaled features.</w:t>
      </w:r>
    </w:p>
    <w:p w14:paraId="001001D0" w14:textId="001001D1">
      <w:pPr>
        <w:pStyle w:val="Heading2"/>
        <w:spacing w:before="200" w:after="80"/>
      </w:pPr>
      <w:r>
        <w:rPr>
          <w:b/>
          <w:sz w:val="26"/>
        </w:rPr>
        <w:t xml:space="preserve">9.3 Cross-Validation Strategy</w:t>
      </w:r>
    </w:p>
    <w:p w14:paraId="001001D2" w14:textId="001001D3">
      <w:pPr>
        <w:pStyle w:val="Normal"/>
        <w:spacing w:after="120"/>
      </w:pPr>
      <w:r>
        <w:rPr>
          <w:sz w:val="22"/>
        </w:rPr>
        <w:t xml:space="preserve">5-fold cross-validation (KFold, shuffle=True, RANDOM_STATE=42) was applied to the training set for model selection. Cross-validated R², MAE, and RMSE scores are reported as the primary model selection criterion, preventing over-optimistic evaluation from a single train/test split.</w:t>
      </w:r>
    </w:p>
    <w:p w14:paraId="001001D4" w14:textId="001001D5">
      <w:pPr>
        <w:pStyle w:val="Heading1"/>
        <w:spacing w:before="280" w:after="120"/>
      </w:pPr>
      <w:r>
        <w:rPr>
          <w:b/>
          <w:sz w:val="32"/>
        </w:rPr>
        <w:t xml:space="preserve">10. Models Used</w:t>
      </w:r>
    </w:p>
    <w:p w14:paraId="001001D6" w14:textId="001001D7">
      <w:pPr>
        <w:pStyle w:val="Normal"/>
        <w:spacing w:after="80"/>
      </w:pPr>
      <w:r>
        <w:rPr>
          <w:sz w:val="22"/>
        </w:rPr>
        <w:t xml:space="preserve">Four regression models were trained and compared:</w:t>
      </w:r>
    </w:p>
    <w:p w14:paraId="001001D8" w14:textId="001001D9">
      <w:pPr>
        <w:pStyle w:val="Normal"/>
        <w:numPr>
          <w:ilvl w:val="0"/>
          <w:numId w:val="3"/>
        </w:numPr>
        <w:spacing w:after="60"/>
      </w:pPr>
      <w:r>
        <w:rPr>
          <w:sz w:val="22"/>
        </w:rPr>
        <w:t xml:space="preserve">Linear Regression: Establishes a baseline for linear predictability. A negative cross-validated R² (-0.001) confirms that linear relationships in the feature set are negligible.</w:t>
      </w:r>
    </w:p>
    <w:p w14:paraId="001001DA" w14:textId="001001DB">
      <w:pPr>
        <w:pStyle w:val="Normal"/>
        <w:numPr>
          <w:ilvl w:val="0"/>
          <w:numId w:val="3"/>
        </w:numPr>
        <w:spacing w:after="60"/>
      </w:pPr>
      <w:r>
        <w:rPr>
          <w:sz w:val="22"/>
        </w:rPr>
        <w:t xml:space="preserve">Decision Tree Regressor (max_depth=6): A constrained tree to prevent overfitting. Depth was limited based on cross-validation experimentation. CV R² = 0.043.</w:t>
      </w:r>
    </w:p>
    <w:p w14:paraId="001001DC" w14:textId="001001DD">
      <w:pPr>
        <w:pStyle w:val="Normal"/>
        <w:numPr>
          <w:ilvl w:val="0"/>
          <w:numId w:val="3"/>
        </w:numPr>
        <w:spacing w:after="60"/>
      </w:pPr>
      <w:r>
        <w:rPr>
          <w:sz w:val="22"/>
        </w:rPr>
        <w:t xml:space="preserve">Random Forest Regressor (max_depth=8, n_estimators=100): Best-performing model. Ensemble of decision trees; depth constrained to prevent overfitting while retaining ensemble variance reduction. CV R² = 0.205.</w:t>
      </w:r>
    </w:p>
    <w:p w14:paraId="001001DE" w14:textId="001001DF">
      <w:pPr>
        <w:pStyle w:val="Normal"/>
        <w:numPr>
          <w:ilvl w:val="0"/>
          <w:numId w:val="3"/>
        </w:numPr>
        <w:spacing w:after="60"/>
      </w:pPr>
      <w:r>
        <w:rPr>
          <w:sz w:val="22"/>
        </w:rPr>
        <w:t xml:space="preserve">Gradient Boosting Regressor (n_estimators=100): Sequential ensemble learning. CV R² = 0.128.</w:t>
      </w:r>
    </w:p>
    <w:p w14:paraId="001001E0" w14:textId="001001E1">
      <w:pPr>
        <w:pStyle w:val="Normal"/>
        <w:numPr>
          <w:ilvl w:val="0"/>
          <w:numId w:val="3"/>
        </w:numPr>
        <w:spacing w:after="120"/>
      </w:pPr>
      <w:r>
        <w:rPr>
          <w:sz w:val="22"/>
        </w:rPr>
        <w:t xml:space="preserve">A mean-prediction Baseline (predicting the training mean for all instances) with R²=0.000 was included as a lower bound for meaningful model performance.</w:t>
      </w:r>
    </w:p>
    <w:p w14:paraId="001001E2" w14:textId="001001E3">
      <w:pPr>
        <w:pStyle w:val="Normal"/>
        <w:spacing w:after="120"/>
      </w:pPr>
      <w:r>
        <w:rPr>
          <w:sz w:val="22"/>
        </w:rPr>
        <w:t xml:space="preserve">Note on depth constraints: An unconstrained Random Forest achieves R²=0.81 on a single train/test split but CV R²=-0.08, demonstrating pure overfitting. All reported results use depth-constrained models evaluated under cross-validation.</w:t>
      </w:r>
    </w:p>
    <w:p w14:paraId="001001E4" w14:textId="001001E5">
      <w:pPr>
        <w:pStyle w:val="Heading1"/>
        <w:spacing w:before="280" w:after="120"/>
      </w:pPr>
      <w:r>
        <w:rPr>
          <w:b/>
          <w:sz w:val="32"/>
        </w:rPr>
        <w:t xml:space="preserve">11. Model Evaluation and Results</w:t>
      </w:r>
    </w:p>
    <w:p w14:paraId="001001E6" w14:textId="001001E7">
      <w:pPr>
        <w:pStyle w:val="Heading2"/>
        <w:spacing w:before="200" w:after="80"/>
      </w:pPr>
      <w:r>
        <w:rPr>
          <w:b/>
          <w:sz w:val="26"/>
        </w:rPr>
        <w:t xml:space="preserve">11.1 Evaluation Metrics</w:t>
      </w:r>
    </w:p>
    <w:p w14:paraId="001001E8" w14:textId="001001E9">
      <w:pPr>
        <w:pStyle w:val="Normal"/>
        <w:spacing w:after="120"/>
      </w:pPr>
      <w:r>
        <w:rPr>
          <w:sz w:val="22"/>
        </w:rPr>
        <w:t xml:space="preserve">Models were evaluated using three metrics: Mean Absolute Error (MAE, average absolute score-point error), Root Mean Squared Error (RMSE, penalises larger errors more heavily), and R-squared (R², proportion of variance explained; R²=0 means no better than predicting the mean; R²=1 means perfect prediction). The 5-fold CV R² is the primary model selection criterion.</w:t>
      </w:r>
    </w:p>
    <w:p w14:paraId="001001EA" w14:textId="001001EB">
      <w:pPr>
        <w:pStyle w:val="Heading2"/>
        <w:spacing w:before="200" w:after="80"/>
      </w:pPr>
      <w:r>
        <w:rPr>
          <w:b/>
          <w:sz w:val="26"/>
        </w:rPr>
        <w:t xml:space="preserve">11.2 Full Model Comparison Table</w:t>
      </w:r>
    </w:p>
    <w:tbl>
      <w:tblPr>
        <w:tblW w:w="5000" w:type="pct"/>
        <w:tblBorders>
          <w:top w:val="single" w:sz="4"/>
          <w:left w:val="single" w:sz="4"/>
          <w:bottom w:val="single" w:sz="4"/>
          <w:right w:val="single" w:sz="4"/>
          <w:insideH w:val="single" w:sz="4"/>
          <w:insideV w:val="single" w:sz="4"/>
        </w:tblBorders>
      </w:tblPr>
      <w:tblGrid>
        <w:gridCol w:w="1038"/>
        <w:gridCol w:w="1038"/>
        <w:gridCol w:w="1038"/>
        <w:gridCol w:w="1038"/>
        <w:gridCol w:w="1038"/>
        <w:gridCol w:w="1038"/>
        <w:gridCol w:w="1038"/>
        <w:gridCol w:w="1038"/>
      </w:tblGrid>
      <w:tr>
        <w:trPr>
          <w:tblHeader/>
        </w:trPr>
        <w:tc>
          <w:p w14:paraId="001001EC" w14:textId="001001ED">
            <w:r>
              <w:t xml:space="preserve">Model</w:t>
            </w:r>
          </w:p>
        </w:tc>
        <w:tc>
          <w:p w14:paraId="001001EE" w14:textId="001001EF">
            <w:r>
              <w:t xml:space="preserve">CV MAE</w:t>
            </w:r>
          </w:p>
        </w:tc>
        <w:tc>
          <w:p w14:paraId="001001F0" w14:textId="001001F1">
            <w:r>
              <w:t xml:space="preserve">CV RMSE</w:t>
            </w:r>
          </w:p>
        </w:tc>
        <w:tc>
          <w:p w14:paraId="001001F2" w14:textId="001001F3">
            <w:r>
              <w:t xml:space="preserve">CV R²</w:t>
            </w:r>
          </w:p>
        </w:tc>
        <w:tc>
          <w:p w14:paraId="001001F4" w14:textId="001001F5">
            <w:r>
              <w:t xml:space="preserve">Test MAE</w:t>
            </w:r>
          </w:p>
        </w:tc>
        <w:tc>
          <w:p w14:paraId="001001F6" w14:textId="001001F7">
            <w:r>
              <w:t xml:space="preserve">Test RMSE</w:t>
            </w:r>
          </w:p>
        </w:tc>
        <w:tc>
          <w:p w14:paraId="001001F8" w14:textId="001001F9">
            <w:r>
              <w:t xml:space="preserve">Test R²</w:t>
            </w:r>
          </w:p>
        </w:tc>
        <w:tc>
          <w:p w14:paraId="001001FA" w14:textId="001001FB">
            <w:r>
              <w:t xml:space="preserve">Rank</w:t>
            </w:r>
          </w:p>
        </w:tc>
      </w:tr>
      <w:tr>
        <w:trPr/>
        <w:tc>
          <w:p w14:paraId="001001FC" w14:textId="001001FD">
            <w:r>
              <w:t xml:space="preserve">Random Forest (d=8)</w:t>
            </w:r>
          </w:p>
        </w:tc>
        <w:tc>
          <w:p w14:paraId="001001FE" w14:textId="001001FF">
            <w:r>
              <w:t xml:space="preserve">13.551</w:t>
            </w:r>
          </w:p>
        </w:tc>
        <w:tc>
          <w:p w14:paraId="00100200" w14:textId="00100201">
            <w:r>
              <w:t xml:space="preserve">15.766</w:t>
            </w:r>
          </w:p>
        </w:tc>
        <w:tc>
          <w:p w14:paraId="00100202" w14:textId="00100203">
            <w:r>
              <w:t xml:space="preserve">0.2047</w:t>
            </w:r>
          </w:p>
        </w:tc>
        <w:tc>
          <w:p w14:paraId="00100204" w14:textId="00100205">
            <w:r>
              <w:t xml:space="preserve">13.270</w:t>
            </w:r>
          </w:p>
        </w:tc>
        <w:tc>
          <w:p w14:paraId="00100206" w14:textId="00100207">
            <w:r>
              <w:t xml:space="preserve">15.489</w:t>
            </w:r>
          </w:p>
        </w:tc>
        <w:tc>
          <w:p w14:paraId="00100208" w14:textId="00100209">
            <w:r>
              <w:t xml:space="preserve">0.2383</w:t>
            </w:r>
          </w:p>
        </w:tc>
        <w:tc>
          <w:p w14:paraId="0010020A" w14:textId="0010020B">
            <w:r>
              <w:t xml:space="preserve">1 (Best)</w:t>
            </w:r>
          </w:p>
        </w:tc>
      </w:tr>
      <w:tr>
        <w:trPr/>
        <w:tc>
          <w:p w14:paraId="0010020C" w14:textId="0010020D">
            <w:r>
              <w:t xml:space="preserve">Gradient Boosting</w:t>
            </w:r>
          </w:p>
        </w:tc>
        <w:tc>
          <w:p w14:paraId="0010020E" w14:textId="0010020F">
            <w:r>
              <w:t xml:space="preserve">14.211</w:t>
            </w:r>
          </w:p>
        </w:tc>
        <w:tc>
          <w:p w14:paraId="00100210" w14:textId="00100211">
            <w:r>
              <w:t xml:space="preserve">16.511</w:t>
            </w:r>
          </w:p>
        </w:tc>
        <w:tc>
          <w:p w14:paraId="00100212" w14:textId="00100213">
            <w:r>
              <w:t xml:space="preserve">0.1277</w:t>
            </w:r>
          </w:p>
        </w:tc>
        <w:tc>
          <w:p w14:paraId="00100214" w14:textId="00100215">
            <w:r>
              <w:t xml:space="preserve">14.029</w:t>
            </w:r>
          </w:p>
        </w:tc>
        <w:tc>
          <w:p w14:paraId="00100216" w14:textId="00100217">
            <w:r>
              <w:t xml:space="preserve">16.336</w:t>
            </w:r>
          </w:p>
        </w:tc>
        <w:tc>
          <w:p w14:paraId="00100218" w14:textId="00100219">
            <w:r>
              <w:t xml:space="preserve">0.1527</w:t>
            </w:r>
          </w:p>
        </w:tc>
        <w:tc>
          <w:p w14:paraId="0010021A" w14:textId="0010021B">
            <w:r>
              <w:t xml:space="preserve">2</w:t>
            </w:r>
          </w:p>
        </w:tc>
      </w:tr>
      <w:tr>
        <w:trPr/>
        <w:tc>
          <w:p w14:paraId="0010021C" w14:textId="0010021D">
            <w:r>
              <w:t xml:space="preserve">Decision Tree (d=6)</w:t>
            </w:r>
          </w:p>
        </w:tc>
        <w:tc>
          <w:p w14:paraId="0010021E" w14:textId="0010021F">
            <w:r>
              <w:t xml:space="preserve">14.710</w:t>
            </w:r>
          </w:p>
        </w:tc>
        <w:tc>
          <w:p w14:paraId="00100220" w14:textId="00100221">
            <w:r>
              <w:t xml:space="preserve">17.291</w:t>
            </w:r>
          </w:p>
        </w:tc>
        <w:tc>
          <w:p w14:paraId="00100222" w14:textId="00100223">
            <w:r>
              <w:t xml:space="preserve">0.0433</w:t>
            </w:r>
          </w:p>
        </w:tc>
        <w:tc>
          <w:p w14:paraId="00100224" w14:textId="00100225">
            <w:r>
              <w:t xml:space="preserve">14.577</w:t>
            </w:r>
          </w:p>
        </w:tc>
        <w:tc>
          <w:p w14:paraId="00100226" w14:textId="00100227">
            <w:r>
              <w:t xml:space="preserve">17.167</w:t>
            </w:r>
          </w:p>
        </w:tc>
        <w:tc>
          <w:p w14:paraId="00100228" w14:textId="00100229">
            <w:r>
              <w:t xml:space="preserve">0.0644</w:t>
            </w:r>
          </w:p>
        </w:tc>
        <w:tc>
          <w:p w14:paraId="0010022A" w14:textId="0010022B">
            <w:r>
              <w:t xml:space="preserve">3</w:t>
            </w:r>
          </w:p>
        </w:tc>
      </w:tr>
      <w:tr>
        <w:trPr/>
        <w:tc>
          <w:p w14:paraId="0010022C" w14:textId="0010022D">
            <w:r>
              <w:t xml:space="preserve">Linear Regression</w:t>
            </w:r>
          </w:p>
        </w:tc>
        <w:tc>
          <w:p w14:paraId="0010022E" w14:textId="0010022F">
            <w:r>
              <w:t xml:space="preserve">15.318</w:t>
            </w:r>
          </w:p>
        </w:tc>
        <w:tc>
          <w:p w14:paraId="00100230" w14:textId="00100231">
            <w:r>
              <w:t xml:space="preserve">17.689</w:t>
            </w:r>
          </w:p>
        </w:tc>
        <w:tc>
          <w:p w14:paraId="00100232" w14:textId="00100233">
            <w:r>
              <w:t xml:space="preserve">-0.001</w:t>
            </w:r>
          </w:p>
        </w:tc>
        <w:tc>
          <w:p w14:paraId="00100234" w14:textId="00100235">
            <w:r>
              <w:t xml:space="preserve">15.338</w:t>
            </w:r>
          </w:p>
        </w:tc>
        <w:tc>
          <w:p w14:paraId="00100236" w14:textId="00100237">
            <w:r>
              <w:t xml:space="preserve">17.692</w:t>
            </w:r>
          </w:p>
        </w:tc>
        <w:tc>
          <w:p w14:paraId="00100238" w14:textId="00100239">
            <w:r>
              <w:t xml:space="preserve">0.0062</w:t>
            </w:r>
          </w:p>
        </w:tc>
        <w:tc>
          <w:p w14:paraId="0010023A" w14:textId="0010023B">
            <w:r>
              <w:t xml:space="preserve">4</w:t>
            </w:r>
          </w:p>
        </w:tc>
      </w:tr>
      <w:tr>
        <w:trPr/>
        <w:tc>
          <w:p w14:paraId="0010023C" w14:textId="0010023D">
            <w:r>
              <w:t xml:space="preserve">Baseline (mean pred.)</w:t>
            </w:r>
          </w:p>
        </w:tc>
        <w:tc>
          <w:p w14:paraId="0010023E" w14:textId="0010023F">
            <w:r>
              <w:t xml:space="preserve">—</w:t>
            </w:r>
          </w:p>
        </w:tc>
        <w:tc>
          <w:p w14:paraId="00100240" w14:textId="00100241">
            <w:r>
              <w:t xml:space="preserve">—</w:t>
            </w:r>
          </w:p>
        </w:tc>
        <w:tc>
          <w:p w14:paraId="00100242" w14:textId="00100243">
            <w:r>
              <w:t xml:space="preserve">0.000</w:t>
            </w:r>
          </w:p>
        </w:tc>
        <w:tc>
          <w:p w14:paraId="00100244" w14:textId="00100245">
            <w:r>
              <w:t xml:space="preserve">15.381</w:t>
            </w:r>
          </w:p>
        </w:tc>
        <w:tc>
          <w:p w14:paraId="00100246" w14:textId="00100247">
            <w:r>
              <w:t xml:space="preserve">17.747</w:t>
            </w:r>
          </w:p>
        </w:tc>
        <w:tc>
          <w:p w14:paraId="00100248" w14:textId="00100249">
            <w:r>
              <w:t xml:space="preserve">0.000</w:t>
            </w:r>
          </w:p>
        </w:tc>
        <w:tc>
          <w:p w14:paraId="0010024A" w14:textId="0010024B">
            <w:r>
              <w:t xml:space="preserve">—</w:t>
            </w:r>
          </w:p>
        </w:tc>
      </w:tr>
    </w:tbl>
    <w:p w14:paraId="0010024C" w14:textId="0010024D">
      <w:pPr>
        <w:pStyle w:val="Normal"/>
        <w:spacing w:after="120"/>
        <w:jc w:val="center"/>
      </w:pPr>
      <w:r>
        <w:rPr>
          <w:sz w:val="20"/>
        </w:rPr>
        <w:t xml:space="preserve">Table 5: Full model comparison (5-fold CV on training set + held-out test set). All results from executed notebook. MAE and RMSE in score points (0–100 scale).</w:t>
      </w:r>
    </w:p>
    <w:p w14:paraId="0010024E" w14:textId="0010024F">
      <w:pPr>
        <w:pStyle w:val="Heading2"/>
        <w:spacing w:before="200" w:after="80"/>
      </w:pPr>
      <w:r>
        <w:rPr>
          <w:b/>
          <w:sz w:val="26"/>
        </w:rPr>
        <w:t xml:space="preserve">11.3 Best Model Analysis: Random Forest (d=8)</w:t>
      </w:r>
    </w:p>
    <w:p w14:paraId="00100250" w14:textId="00100251">
      <w:pPr>
        <w:pStyle w:val="Normal"/>
        <w:spacing w:after="120"/>
      </w:pPr>
      <w:r>
        <w:rPr>
          <w:sz w:val="22"/>
        </w:rPr>
        <w:t xml:space="preserve">The Random Forest Regressor with max_depth=8 was selected as the best model based on highest cross-validated R² (0.2047). On the held-out test set it achieved: Test R² = 0.2383, Test MAE = 13.27 points, Test RMSE = 15.49 points. Residual diagnostics showed a near-zero mean residual (-0.083, confirming the model is approximately unbiased), residual standard deviation of 15.49 points, and 39.0% of predictions within 10 score points of actuals, with 59.0% within 15 points. Grade-band classification accuracy (mapping predicted scores back to A/B/C/F bands) was 29.47%, compared to a 25% random chance baseline for four equally-likely classes.</w:t>
      </w:r>
    </w:p>
    <w:p w14:paraId="00100252" w14:textId="00100253">
      <w:pPr>
        <w:pStyle w:val="Heading2"/>
        <w:spacing w:before="200" w:after="80"/>
      </w:pPr>
      <w:r>
        <w:rPr>
          <w:b/>
          <w:sz w:val="26"/>
        </w:rPr>
        <w:t xml:space="preserve">11.4 Feature Importances (Random Forest)</w:t>
      </w:r>
    </w:p>
    <w:p w14:paraId="00100254" w14:textId="00100255">
      <w:pPr>
        <w:pStyle w:val="Normal"/>
        <w:spacing w:after="80"/>
      </w:pPr>
      <w:r>
        <w:rPr>
          <w:sz w:val="22"/>
        </w:rPr>
        <w:t xml:space="preserve">Feature importance scores (mean decrease in MSE) from the best model reveal the following top 10 features: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56" w14:textId="00100257">
            <w:r>
              <w:t xml:space="preserve">Rank</w:t>
            </w:r>
          </w:p>
        </w:tc>
        <w:tc>
          <w:p w14:paraId="00100258" w14:textId="00100259">
            <w:r>
              <w:t xml:space="preserve">Feature</w:t>
            </w:r>
          </w:p>
        </w:tc>
        <w:tc>
          <w:p w14:paraId="0010025A" w14:textId="0010025B">
            <w:r>
              <w:t xml:space="preserve">Importance Score</w:t>
            </w:r>
          </w:p>
        </w:tc>
      </w:tr>
      <w:tr>
        <w:trPr/>
        <w:tc>
          <w:p w14:paraId="0010025C" w14:textId="0010025D">
            <w:r>
              <w:t xml:space="preserve">1</w:t>
            </w:r>
          </w:p>
        </w:tc>
        <w:tc>
          <w:p w14:paraId="0010025E" w14:textId="0010025F">
            <w:r>
              <w:t xml:space="preserve">EngagementScore (Engineered)</w:t>
            </w:r>
          </w:p>
        </w:tc>
        <w:tc>
          <w:p w14:paraId="00100260" w14:textId="00100261">
            <w:r>
              <w:t xml:space="preserve">0.1772</w:t>
            </w:r>
          </w:p>
        </w:tc>
      </w:tr>
      <w:tr>
        <w:trPr/>
        <w:tc>
          <w:p w14:paraId="00100262" w14:textId="00100263">
            <w:r>
              <w:t xml:space="preserve">2</w:t>
            </w:r>
          </w:p>
        </w:tc>
        <w:tc>
          <w:p w14:paraId="00100264" w14:textId="00100265">
            <w:r>
              <w:t xml:space="preserve">AttendAssign (Engineered)</w:t>
            </w:r>
          </w:p>
        </w:tc>
        <w:tc>
          <w:p w14:paraId="00100266" w14:textId="00100267">
            <w:r>
              <w:t xml:space="preserve">0.1662</w:t>
            </w:r>
          </w:p>
        </w:tc>
      </w:tr>
      <w:tr>
        <w:trPr/>
        <w:tc>
          <w:p w14:paraId="00100268" w14:textId="00100269">
            <w:r>
              <w:t xml:space="preserve">3</w:t>
            </w:r>
          </w:p>
        </w:tc>
        <w:tc>
          <w:p w14:paraId="0010026A" w14:textId="0010026B">
            <w:r>
              <w:t xml:space="preserve">StudyPerAge (Engineered)</w:t>
            </w:r>
          </w:p>
        </w:tc>
        <w:tc>
          <w:p w14:paraId="0010026C" w14:textId="0010026D">
            <w:r>
              <w:t xml:space="preserve">0.1428</w:t>
            </w:r>
          </w:p>
        </w:tc>
      </w:tr>
      <w:tr>
        <w:trPr/>
        <w:tc>
          <w:p w14:paraId="0010026E" w14:textId="0010026F">
            <w:r>
              <w:t xml:space="preserve">4</w:t>
            </w:r>
          </w:p>
        </w:tc>
        <w:tc>
          <w:p w14:paraId="00100270" w14:textId="00100271">
            <w:r>
              <w:t xml:space="preserve">OnlineCourses</w:t>
            </w:r>
          </w:p>
        </w:tc>
        <w:tc>
          <w:p w14:paraId="00100272" w14:textId="00100273">
            <w:r>
              <w:t xml:space="preserve">0.1064</w:t>
            </w:r>
          </w:p>
        </w:tc>
      </w:tr>
      <w:tr>
        <w:trPr/>
        <w:tc>
          <w:p w14:paraId="00100274" w14:textId="00100275">
            <w:r>
              <w:t xml:space="preserve">5</w:t>
            </w:r>
          </w:p>
        </w:tc>
        <w:tc>
          <w:p w14:paraId="00100276" w14:textId="00100277">
            <w:r>
              <w:t xml:space="preserve">AssignmentCompletion</w:t>
            </w:r>
          </w:p>
        </w:tc>
        <w:tc>
          <w:p w14:paraId="00100278" w14:textId="00100279">
            <w:r>
              <w:t xml:space="preserve">0.0935</w:t>
            </w:r>
          </w:p>
        </w:tc>
      </w:tr>
      <w:tr>
        <w:trPr/>
        <w:tc>
          <w:p w14:paraId="0010027A" w14:textId="0010027B">
            <w:r>
              <w:t xml:space="preserve">6</w:t>
            </w:r>
          </w:p>
        </w:tc>
        <w:tc>
          <w:p w14:paraId="0010027C" w14:textId="0010027D">
            <w:r>
              <w:t xml:space="preserve">Attendance</w:t>
            </w:r>
          </w:p>
        </w:tc>
        <w:tc>
          <w:p w14:paraId="0010027E" w14:textId="0010027F">
            <w:r>
              <w:t xml:space="preserve">0.0898</w:t>
            </w:r>
          </w:p>
        </w:tc>
      </w:tr>
      <w:tr>
        <w:trPr/>
        <w:tc>
          <w:p w14:paraId="00100280" w14:textId="00100281">
            <w:r>
              <w:t xml:space="preserve">7</w:t>
            </w:r>
          </w:p>
        </w:tc>
        <w:tc>
          <w:p w14:paraId="00100282" w14:textId="00100283">
            <w:r>
              <w:t xml:space="preserve">Age</w:t>
            </w:r>
          </w:p>
        </w:tc>
        <w:tc>
          <w:p w14:paraId="00100284" w14:textId="00100285">
            <w:r>
              <w:t xml:space="preserve">0.0636</w:t>
            </w:r>
          </w:p>
        </w:tc>
      </w:tr>
      <w:tr>
        <w:trPr/>
        <w:tc>
          <w:p w14:paraId="00100286" w14:textId="00100287">
            <w:r>
              <w:t xml:space="preserve">8</w:t>
            </w:r>
          </w:p>
        </w:tc>
        <w:tc>
          <w:p w14:paraId="00100288" w14:textId="00100289">
            <w:r>
              <w:t xml:space="preserve">StudyHours</w:t>
            </w:r>
          </w:p>
        </w:tc>
        <w:tc>
          <w:p w14:paraId="0010028A" w14:textId="0010028B">
            <w:r>
              <w:t xml:space="preserve">0.0629</w:t>
            </w:r>
          </w:p>
        </w:tc>
      </w:tr>
      <w:tr>
        <w:trPr/>
        <w:tc>
          <w:p w14:paraId="0010028C" w14:textId="0010028D">
            <w:r>
              <w:t xml:space="preserve">9</w:t>
            </w:r>
          </w:p>
        </w:tc>
        <w:tc>
          <w:p w14:paraId="0010028E" w14:textId="0010028F">
            <w:r>
              <w:t xml:space="preserve">LearningStyle</w:t>
            </w:r>
          </w:p>
        </w:tc>
        <w:tc>
          <w:p w14:paraId="00100290" w14:textId="00100291">
            <w:r>
              <w:t xml:space="preserve">0.0330</w:t>
            </w:r>
          </w:p>
        </w:tc>
      </w:tr>
      <w:tr>
        <w:trPr/>
        <w:tc>
          <w:p w14:paraId="00100292" w14:textId="00100293">
            <w:r>
              <w:t xml:space="preserve">10</w:t>
            </w:r>
          </w:p>
        </w:tc>
        <w:tc>
          <w:p w14:paraId="00100294" w14:textId="00100295">
            <w:r>
              <w:t xml:space="preserve">StressLevel</w:t>
            </w:r>
          </w:p>
        </w:tc>
        <w:tc>
          <w:p w14:paraId="00100296" w14:textId="00100297">
            <w:r>
              <w:t xml:space="preserve">0.0232</w:t>
            </w:r>
          </w:p>
        </w:tc>
      </w:tr>
    </w:tbl>
    <w:p w14:paraId="00100298" w14:textId="00100299">
      <w:pPr>
        <w:pStyle w:val="Normal"/>
        <w:spacing w:after="120"/>
        <w:jc w:val="center"/>
      </w:pPr>
      <w:r>
        <w:rPr>
          <w:sz w:val="20"/>
        </w:rPr>
        <w:t xml:space="preserve">Table 6: Top 10 feature importances from Random Forest (d=8). Engineered features indicated in parentheses.</w:t>
      </w:r>
    </w:p>
    <w:p w14:paraId="0010029A" w14:textId="0010029B">
      <w:pPr>
        <w:pStyle w:val="Normal"/>
        <w:spacing w:after="120"/>
      </w:pPr>
      <w:r>
        <w:rPr>
          <w:sz w:val="22"/>
        </w:rPr>
        <w:t xml:space="preserve">Three of the top four features by importance are engineered composite features, demonstrating the value of feature engineering even when individual components have weak linear correlations with the target.</w:t>
      </w:r>
    </w:p>
    <w:p w14:paraId="0010029C" w14:textId="0010029D">
      <w:pPr>
        <w:pStyle w:val="Heading1"/>
        <w:spacing w:before="280" w:after="120"/>
      </w:pPr>
      <w:r>
        <w:rPr>
          <w:b/>
          <w:sz w:val="32"/>
        </w:rPr>
        <w:t xml:space="preserve">12. Key Findings</w:t>
      </w:r>
    </w:p>
    <w:p w14:paraId="0010029E" w14:textId="0010029F">
      <w:pPr>
        <w:pStyle w:val="Normal"/>
        <w:spacing w:after="120"/>
      </w:pPr>
      <w:r>
        <w:rPr>
          <w:sz w:val="22"/>
        </w:rPr>
        <w:t xml:space="preserve">The following findings are drawn directly from the data and model outputs. These are associations observed in a synthetic dataset; they do not establish causal relationships.</w:t>
      </w:r>
    </w:p>
    <w:p w14:paraId="001002A0" w14:textId="001002A1">
      <w:pPr>
        <w:pStyle w:val="Normal"/>
        <w:numPr>
          <w:ilvl w:val="0"/>
          <w:numId w:val="4"/>
        </w:numPr>
        <w:spacing w:after="60"/>
      </w:pPr>
      <w:r>
        <w:rPr>
          <w:sz w:val="22"/>
        </w:rPr>
        <w:t xml:space="preserve">1. No individual feature is a strong linear predictor of ExamScore. All individual Pearson correlations with ExamScore are below |r| = 0.04, including traditionally studied variables such as StudyHours (r=0.004) and Attendance (r=-0.014). This is a synthetic dataset characteristic.</w:t>
      </w:r>
    </w:p>
    <w:p w14:paraId="001002A2" w14:textId="001002A3">
      <w:pPr>
        <w:pStyle w:val="Normal"/>
        <w:numPr>
          <w:ilvl w:val="0"/>
          <w:numId w:val="4"/>
        </w:numPr>
        <w:spacing w:after="60"/>
      </w:pPr>
      <w:r>
        <w:rPr>
          <w:sz w:val="22"/>
        </w:rPr>
        <w:t xml:space="preserve">2. The dataset is approximately balanced across grade categories. Grade A: 27.3%, Grade B: 23.6%, Grade C: 25.8%, Grade F: 23.3% in the cleaned dataset.</w:t>
      </w:r>
    </w:p>
    <w:p w14:paraId="001002A4" w14:textId="001002A5">
      <w:pPr>
        <w:pStyle w:val="Normal"/>
        <w:numPr>
          <w:ilvl w:val="0"/>
          <w:numId w:val="4"/>
        </w:numPr>
        <w:spacing w:after="60"/>
      </w:pPr>
      <w:r>
        <w:rPr>
          <w:sz w:val="22"/>
        </w:rPr>
        <w:t xml:space="preserve">3. Behavioural features show negligible mean differences across grade groups. Mean StudyHours, Attendance, and AssignmentCompletion differ by less than 0.5 units across grade A through F students, confirming that grade category is not systematically differentiated by these features in this dataset.</w:t>
      </w:r>
    </w:p>
    <w:p w14:paraId="001002A6" w14:textId="001002A7">
      <w:pPr>
        <w:pStyle w:val="Normal"/>
        <w:numPr>
          <w:ilvl w:val="0"/>
          <w:numId w:val="4"/>
        </w:numPr>
        <w:spacing w:after="60"/>
      </w:pPr>
      <w:r>
        <w:rPr>
          <w:sz w:val="22"/>
        </w:rPr>
        <w:t xml:space="preserve">4. Statistical significance does not imply practical significance at large n. ANOVA identified Attendance and AssignmentCompletion as statistically significant (p&lt;0.01), but F-statistics were small (F=4.74 and F=5.03 respectively), indicating minimal practical effect sizes. This underscores the importance of examining effect sizes alongside p-values.</w:t>
      </w:r>
    </w:p>
    <w:p w14:paraId="001002A8" w14:textId="001002A9">
      <w:pPr>
        <w:pStyle w:val="Normal"/>
        <w:numPr>
          <w:ilvl w:val="0"/>
          <w:numId w:val="4"/>
        </w:numPr>
        <w:spacing w:after="60"/>
      </w:pPr>
      <w:r>
        <w:rPr>
          <w:sz w:val="22"/>
        </w:rPr>
        <w:t xml:space="preserve">5. The Random Forest model explains approximately 20% of ExamScore variance. The best model (Random Forest, d=8) achieved CV R²=0.205, meaning that 20.5% of exam score variance is explained by the 18 feature set under cross-validation. The remaining ~80% is unexplained by the available features.</w:t>
      </w:r>
    </w:p>
    <w:p w14:paraId="001002AA" w14:textId="001002AB">
      <w:pPr>
        <w:pStyle w:val="Normal"/>
        <w:numPr>
          <w:ilvl w:val="0"/>
          <w:numId w:val="4"/>
        </w:numPr>
        <w:spacing w:after="60"/>
      </w:pPr>
      <w:r>
        <w:rPr>
          <w:sz w:val="22"/>
        </w:rPr>
        <w:t xml:space="preserve">6. Engineered features contribute the highest model utility. EngagementScore (0.177), AttendAssign (0.166), and StudyPerAge (0.143) are the top three features by Random Forest importance, despite having individual correlations with ExamScore below r=0.02. This suggests non-linear combinations of engagement and effort variables capture signal unavailable to linear methods.</w:t>
      </w:r>
    </w:p>
    <w:p w14:paraId="001002AC" w14:textId="001002AD">
      <w:pPr>
        <w:pStyle w:val="Normal"/>
        <w:numPr>
          <w:ilvl w:val="0"/>
          <w:numId w:val="4"/>
        </w:numPr>
        <w:spacing w:after="120"/>
      </w:pPr>
      <w:r>
        <w:rPr>
          <w:sz w:val="22"/>
        </w:rPr>
        <w:t xml:space="preserve">7. The model is approximately unbiased but imprecise. The mean residual is -0.083 (near zero), confirming absence of systematic bias. However, the residual standard deviation is 15.49 score points, and only 39% of predictions fall within 10 points of the actual score. Predictions are unreliable for individual students but may reflect aggregate population trends.</w:t>
      </w:r>
    </w:p>
    <w:p w14:paraId="001002AE" w14:textId="001002AF">
      <w:pPr>
        <w:pStyle w:val="Heading1"/>
        <w:spacing w:before="280" w:after="120"/>
      </w:pPr>
      <w:r>
        <w:rPr>
          <w:b/>
          <w:sz w:val="32"/>
        </w:rPr>
        <w:t xml:space="preserve">13. Practical and Educational Insights</w:t>
      </w:r>
    </w:p>
    <w:p w14:paraId="001002B0" w14:textId="001002B1">
      <w:pPr>
        <w:pStyle w:val="Normal"/>
        <w:spacing w:after="120"/>
      </w:pPr>
      <w:r>
        <w:rPr>
          <w:sz w:val="22"/>
        </w:rPr>
        <w:t xml:space="preserve">The following insights are offered as evidence-informed observations for educational practitioners, with the important caveat that this analysis is based on a synthetic dataset and does not establish causation:</w:t>
      </w:r>
    </w:p>
    <w:p w14:paraId="001002B2" w14:textId="001002B3">
      <w:pPr>
        <w:pStyle w:val="Normal"/>
        <w:numPr>
          <w:ilvl w:val="0"/>
          <w:numId w:val="5"/>
        </w:numPr>
        <w:spacing w:after="60"/>
      </w:pPr>
      <w:r>
        <w:rPr>
          <w:sz w:val="22"/>
        </w:rPr>
        <w:t xml:space="preserve">Holistic engagement matters more than isolated behaviours. The top-ranked features by model importance are composite engagement indices (EngagementScore, AttendAssign), not individual behaviours like attendance alone. This suggests that supporting consistent, multi-dimensional engagement — rather than optimising a single metric — may be a more effective educational strategy.</w:t>
      </w:r>
    </w:p>
    <w:p w14:paraId="001002B4" w14:textId="001002B5">
      <w:pPr>
        <w:pStyle w:val="Normal"/>
        <w:numPr>
          <w:ilvl w:val="0"/>
          <w:numId w:val="5"/>
        </w:numPr>
        <w:spacing w:after="60"/>
      </w:pPr>
      <w:r>
        <w:rPr>
          <w:sz w:val="22"/>
        </w:rPr>
        <w:t xml:space="preserve">Academic discussions and stress levels show statistically significant associations. Chi-square tests identified Discussions (p&lt;0.001) and StressLevel (p&lt;0.001) as significantly associated with grade distribution, though effect sizes are small. Monitoring student participation in academic discussions and providing stress management support may be beneficial interventions.</w:t>
      </w:r>
    </w:p>
    <w:p w14:paraId="001002B6" w14:textId="001002B7">
      <w:pPr>
        <w:pStyle w:val="Normal"/>
        <w:numPr>
          <w:ilvl w:val="0"/>
          <w:numId w:val="5"/>
        </w:numPr>
        <w:spacing w:after="60"/>
      </w:pPr>
      <w:r>
        <w:rPr>
          <w:sz w:val="22"/>
        </w:rPr>
        <w:t xml:space="preserve">Low-stress students show a marginally higher proportion of Grade A outcomes. Students with StressLevel=0 achieved Grade A 30.2% of the time, compared to 26.5% for high-stress students. While the difference is modest, it is consistent with literature on the negative effects of high stress on academic outcomes.</w:t>
      </w:r>
    </w:p>
    <w:p w14:paraId="001002B8" w14:textId="001002B9">
      <w:pPr>
        <w:pStyle w:val="Normal"/>
        <w:numPr>
          <w:ilvl w:val="0"/>
          <w:numId w:val="5"/>
        </w:numPr>
        <w:spacing w:after="60"/>
      </w:pPr>
      <w:r>
        <w:rPr>
          <w:sz w:val="22"/>
        </w:rPr>
        <w:t xml:space="preserve">LearningStyle is statistically associated with grade distribution. Chi-square p&lt;0.001 for LearningStyle vs FinalGrade. This suggests that tailoring instructional delivery to different learning style profiles could be a meaningful avenue for educators, though effect sizes in this synthetic dataset are small.</w:t>
      </w:r>
    </w:p>
    <w:p w14:paraId="001002BA" w14:textId="001002BB">
      <w:pPr>
        <w:pStyle w:val="Normal"/>
        <w:numPr>
          <w:ilvl w:val="0"/>
          <w:numId w:val="5"/>
        </w:numPr>
        <w:spacing w:after="120"/>
      </w:pPr>
      <w:r>
        <w:rPr>
          <w:sz w:val="22"/>
        </w:rPr>
        <w:t xml:space="preserve">Predictive models should not replace professional teacher judgement. Grade-band accuracy of 29.5% (barely above random chance) confirms that the model is not suitable for making decisions about individual students. Its utility lies in identifying population-level patterns, not in labelling or categorising individual learners.</w:t>
      </w:r>
    </w:p>
    <w:p w14:paraId="001002BC" w14:textId="001002BD">
      <w:pPr>
        <w:pStyle w:val="Heading1"/>
        <w:spacing w:before="280" w:after="120"/>
      </w:pPr>
      <w:r>
        <w:rPr>
          <w:b/>
          <w:sz w:val="32"/>
        </w:rPr>
        <w:t xml:space="preserve">14. Limitations</w:t>
      </w:r>
    </w:p>
    <w:p w14:paraId="001002BE" w14:textId="001002BF">
      <w:pPr>
        <w:pStyle w:val="Heading2"/>
        <w:spacing w:before="200" w:after="80"/>
      </w:pPr>
      <w:r>
        <w:rPr>
          <w:b/>
          <w:sz w:val="26"/>
        </w:rPr>
        <w:t xml:space="preserve">14.1 Dataset Limitations</w:t>
      </w:r>
    </w:p>
    <w:p w14:paraId="001002C0" w14:textId="001002C1">
      <w:pPr>
        <w:pStyle w:val="Normal"/>
        <w:numPr>
          <w:ilvl w:val="0"/>
          <w:numId w:val="6"/>
        </w:numPr>
        <w:spacing w:after="60"/>
      </w:pPr>
      <w:r>
        <w:rPr>
          <w:sz w:val="22"/>
        </w:rPr>
        <w:t xml:space="preserve">Synthetic data: The dataset was artificially generated and does not represent real student populations. All patterns, associations, and model performance metrics apply to this synthetic data only. Findings should not be generalised to real educational contexts without validation on real data.</w:t>
      </w:r>
    </w:p>
    <w:p w14:paraId="001002C2" w14:textId="001002C3">
      <w:pPr>
        <w:pStyle w:val="Normal"/>
        <w:numPr>
          <w:ilvl w:val="0"/>
          <w:numId w:val="6"/>
        </w:numPr>
        <w:spacing w:after="60"/>
      </w:pPr>
      <w:r>
        <w:rPr>
          <w:sz w:val="22"/>
        </w:rPr>
        <w:t xml:space="preserve">Deterministic grading: FinalGrade is an exact binning of ExamScore with non-overlapping bands. Real grading systems are far more complex and involve multiple assessments. This structural property also means that FinalGrade cannot be used as a feature without causing complete data leakage.</w:t>
      </w:r>
    </w:p>
    <w:p w14:paraId="001002C4" w14:textId="001002C5">
      <w:pPr>
        <w:pStyle w:val="Normal"/>
        <w:numPr>
          <w:ilvl w:val="0"/>
          <w:numId w:val="6"/>
        </w:numPr>
        <w:spacing w:after="60"/>
      </w:pPr>
      <w:r>
        <w:rPr>
          <w:sz w:val="22"/>
        </w:rPr>
        <w:t xml:space="preserve">Limited feature predictability: No individual feature correlates with ExamScore at |r| &gt; 0.04. This severely limits the ceiling on achievable R² and means results should be interpreted with caution. A real dataset with genuine covariance structure may behave very differently.</w:t>
      </w:r>
    </w:p>
    <w:p w14:paraId="001002C6" w14:textId="001002C7">
      <w:pPr>
        <w:pStyle w:val="Normal"/>
        <w:numPr>
          <w:ilvl w:val="0"/>
          <w:numId w:val="6"/>
        </w:numPr>
        <w:spacing w:after="120"/>
      </w:pPr>
      <w:r>
        <w:rPr>
          <w:sz w:val="22"/>
        </w:rPr>
        <w:t xml:space="preserve">Significant duplicate records: 10.95% of raw records were exact duplicates — an unusually high rate indicative of synthetic generation artefacts. Their removal is appropriate but the reason for their presence is unknown.</w:t>
      </w:r>
    </w:p>
    <w:p w14:paraId="001002C8" w14:textId="001002C9">
      <w:pPr>
        <w:pStyle w:val="Heading2"/>
        <w:spacing w:before="200" w:after="80"/>
      </w:pPr>
      <w:r>
        <w:rPr>
          <w:b/>
          <w:sz w:val="26"/>
        </w:rPr>
        <w:t xml:space="preserve">14.2 Modelling Limitations</w:t>
      </w:r>
    </w:p>
    <w:p w14:paraId="001002CA" w14:textId="001002CB">
      <w:pPr>
        <w:pStyle w:val="Normal"/>
        <w:numPr>
          <w:ilvl w:val="0"/>
          <w:numId w:val="7"/>
        </w:numPr>
        <w:spacing w:after="60"/>
      </w:pPr>
      <w:r>
        <w:rPr>
          <w:sz w:val="22"/>
        </w:rPr>
        <w:t xml:space="preserve">Regression accuracy is modest: CV R² = 0.205 means approximately 80% of exam score variance is unexplained by the available features. Predictions carry a typical error of 13–15 score points (on a 40–100 scale), making them insufficiently precise for individual-level decisions.</w:t>
      </w:r>
    </w:p>
    <w:p w14:paraId="001002CC" w14:textId="001002CD">
      <w:pPr>
        <w:pStyle w:val="Normal"/>
        <w:numPr>
          <w:ilvl w:val="0"/>
          <w:numId w:val="7"/>
        </w:numPr>
        <w:spacing w:after="60"/>
      </w:pPr>
      <w:r>
        <w:rPr>
          <w:sz w:val="22"/>
        </w:rPr>
        <w:t xml:space="preserve">Depth-constrained models: Tree depth was limited to prevent overfitting (unlimited trees achieve high single-split R² but negative CV R²). The depth constraint trades potential accuracy for reliable generalisation.</w:t>
      </w:r>
    </w:p>
    <w:p w14:paraId="001002CE" w14:textId="001002CF">
      <w:pPr>
        <w:pStyle w:val="Normal"/>
        <w:numPr>
          <w:ilvl w:val="0"/>
          <w:numId w:val="7"/>
        </w:numPr>
        <w:spacing w:after="60"/>
      </w:pPr>
      <w:r>
        <w:rPr>
          <w:sz w:val="22"/>
        </w:rPr>
        <w:t xml:space="preserve">No causal inference: All reported associations are correlational. The analysis cannot determine whether any feature causally influences exam performance.</w:t>
      </w:r>
    </w:p>
    <w:p w14:paraId="001002D0" w14:textId="001002D1">
      <w:pPr>
        <w:pStyle w:val="Normal"/>
        <w:numPr>
          <w:ilvl w:val="0"/>
          <w:numId w:val="7"/>
        </w:numPr>
        <w:spacing w:after="60"/>
      </w:pPr>
      <w:r>
        <w:rPr>
          <w:sz w:val="22"/>
        </w:rPr>
        <w:t xml:space="preserve">Feature completeness: Important real-world predictors such as socioeconomic background, prior academic achievement, teaching quality, and mental health are absent from the dataset.</w:t>
      </w:r>
    </w:p>
    <w:p w14:paraId="001002D2" w14:textId="001002D3">
      <w:pPr>
        <w:pStyle w:val="Normal"/>
        <w:numPr>
          <w:ilvl w:val="0"/>
          <w:numId w:val="7"/>
        </w:numPr>
        <w:spacing w:after="120"/>
      </w:pPr>
      <w:r>
        <w:rPr>
          <w:sz w:val="22"/>
        </w:rPr>
        <w:t xml:space="preserve">Single temporal snapshot: The dataset contains no longitudinal information. Trends over time, the effect of interventions, or learning trajectory cannot be studied.</w:t>
      </w:r>
    </w:p>
    <w:p w14:paraId="001002D4" w14:textId="001002D5">
      <w:pPr>
        <w:pStyle w:val="Heading1"/>
        <w:spacing w:before="280" w:after="120"/>
      </w:pPr>
      <w:r>
        <w:rPr>
          <w:b/>
          <w:sz w:val="32"/>
        </w:rPr>
        <w:t xml:space="preserve">15. Future Scope</w:t>
      </w:r>
    </w:p>
    <w:p w14:paraId="001002D6" w14:textId="001002D7">
      <w:pPr>
        <w:pStyle w:val="Normal"/>
        <w:spacing w:after="80"/>
      </w:pPr>
      <w:r>
        <w:rPr>
          <w:sz w:val="22"/>
        </w:rPr>
        <w:t xml:space="preserve">Several directions could extend or improve upon this work:</w:t>
      </w:r>
    </w:p>
    <w:p w14:paraId="001002D8" w14:textId="001002D9">
      <w:pPr>
        <w:pStyle w:val="Normal"/>
        <w:numPr>
          <w:ilvl w:val="0"/>
          <w:numId w:val="8"/>
        </w:numPr>
        <w:spacing w:after="60"/>
      </w:pPr>
      <w:r>
        <w:rPr>
          <w:sz w:val="22"/>
        </w:rPr>
        <w:t xml:space="preserve">Real-world dataset validation: The most impactful next step would be replicating this pipeline on a real student dataset (e.g. from a university LMS or public administrative data) to test whether identified patterns hold in genuine educational contexts.</w:t>
      </w:r>
    </w:p>
    <w:p w14:paraId="001002DA" w14:textId="001002DB">
      <w:pPr>
        <w:pStyle w:val="Normal"/>
        <w:numPr>
          <w:ilvl w:val="0"/>
          <w:numId w:val="8"/>
        </w:numPr>
        <w:spacing w:after="60"/>
      </w:pPr>
      <w:r>
        <w:rPr>
          <w:sz w:val="22"/>
        </w:rPr>
        <w:t xml:space="preserve">Advanced modelling: Techniques such as XGBoost, LightGBM, or neural network architectures could be applied. Bayesian optimisation or grid search cross-validation could be used for systematic hyperparameter tuning.</w:t>
      </w:r>
    </w:p>
    <w:p w14:paraId="001002DC" w14:textId="001002DD">
      <w:pPr>
        <w:pStyle w:val="Normal"/>
        <w:numPr>
          <w:ilvl w:val="0"/>
          <w:numId w:val="8"/>
        </w:numPr>
        <w:spacing w:after="60"/>
      </w:pPr>
      <w:r>
        <w:rPr>
          <w:sz w:val="22"/>
        </w:rPr>
        <w:t xml:space="preserve">Explainability: SHAP (SHapley Additive exPlanations) values could provide per-student, per-feature explanations for predictions, improving interpretability and educator trust in model outputs.</w:t>
      </w:r>
    </w:p>
    <w:p w14:paraId="001002DE" w14:textId="001002DF">
      <w:pPr>
        <w:pStyle w:val="Normal"/>
        <w:numPr>
          <w:ilvl w:val="0"/>
          <w:numId w:val="8"/>
        </w:numPr>
        <w:spacing w:after="60"/>
      </w:pPr>
      <w:r>
        <w:rPr>
          <w:sz w:val="22"/>
        </w:rPr>
        <w:t xml:space="preserve">Longitudinal analysis: Collecting student data across multiple semesters or academic years would enable analysis of learning trajectories and the impact of early interventions on later performance.</w:t>
      </w:r>
    </w:p>
    <w:p w14:paraId="001002E0" w14:textId="001002E1">
      <w:pPr>
        <w:pStyle w:val="Normal"/>
        <w:numPr>
          <w:ilvl w:val="0"/>
          <w:numId w:val="8"/>
        </w:numPr>
        <w:spacing w:after="60"/>
      </w:pPr>
      <w:r>
        <w:rPr>
          <w:sz w:val="22"/>
        </w:rPr>
        <w:t xml:space="preserve">Clustering and student segmentation: Unsupervised methods (k-means, hierarchical clustering) could identify natural student archetypes based on behavioural profiles, supporting more targeted educational interventions.</w:t>
      </w:r>
    </w:p>
    <w:p w14:paraId="001002E2" w14:textId="001002E3">
      <w:pPr>
        <w:pStyle w:val="Normal"/>
        <w:numPr>
          <w:ilvl w:val="0"/>
          <w:numId w:val="8"/>
        </w:numPr>
        <w:spacing w:after="120"/>
      </w:pPr>
      <w:r>
        <w:rPr>
          <w:sz w:val="22"/>
        </w:rPr>
        <w:t xml:space="preserve">Causal inference: Techniques such as instrumental variable analysis or difference-in-differences (where experimental or quasi-experimental data is available) could move beyond correlation to estimate causal effects of specific interventions.</w:t>
      </w:r>
    </w:p>
    <w:p w14:paraId="001002E4" w14:textId="001002E5">
      <w:pPr>
        <w:pStyle w:val="Heading1"/>
        <w:spacing w:before="280" w:after="120"/>
      </w:pPr>
      <w:r>
        <w:rPr>
          <w:b/>
          <w:sz w:val="32"/>
        </w:rPr>
        <w:t xml:space="preserve">16. Conclusion</w:t>
      </w:r>
    </w:p>
    <w:p w14:paraId="001002E6" w14:textId="001002E7">
      <w:pPr>
        <w:pStyle w:val="Normal"/>
        <w:spacing w:after="120"/>
      </w:pPr>
      <w:r>
        <w:rPr>
          <w:sz w:val="22"/>
        </w:rPr>
        <w:t xml:space="preserve">This project demonstrates a complete, professional-grade data analytics and machine learning pipeline applied to the Student Performance and Learning Behavior Dataset as part of the IBM SkillsBuild Data Analytics with AI Academic Internship 2026. The entire pipeline — from raw CSV ingestion through data cleaning, exploratory analysis, statistical testing, feature engineering, model training, cross-validation, evaluation, and prediction — is implemented in a single reproducible Jupyter Notebook.</w:t>
      </w:r>
    </w:p>
    <w:p w14:paraId="001002E8" w14:textId="001002E9">
      <w:pPr>
        <w:pStyle w:val="Normal"/>
        <w:spacing w:after="120"/>
      </w:pPr>
      <w:r>
        <w:rPr>
          <w:sz w:val="22"/>
        </w:rPr>
        <w:t xml:space="preserve">The analysis found that no individual behavioural feature is a strong linear predictor of exam scores in this synthetic dataset (all |r| &lt; 0.04). The best-performing model — a Random Forest Regressor with max_depth=8 — achieves a cross-validated R² of 0.2047, explaining approximately one-fifth of exam score variance. Residual analysis confirms the model is approximately unbiased (mean residual = -0.083) but has a typical prediction error of 13–15 score points, which is insufficient for reliable individual-level assessment decisions.</w:t>
      </w:r>
    </w:p>
    <w:p w14:paraId="001002EA" w14:textId="001002EB">
      <w:pPr>
        <w:pStyle w:val="Normal"/>
        <w:spacing w:after="120"/>
      </w:pPr>
      <w:r>
        <w:rPr>
          <w:sz w:val="22"/>
        </w:rPr>
        <w:t xml:space="preserve">The most valuable methodological insights from this project are: (1) feature engineering improved model utility despite weak individual correlations; (2) cross-validation is essential for honest evaluation — unconstrained models achieved R²=0.81 on a single split but negative cross-validated R², demonstrating classic overfitting; and (3) statistical significance does not imply practical significance at large sample sizes.</w:t>
      </w:r>
    </w:p>
    <w:p w14:paraId="001002EC" w14:textId="001002ED">
      <w:pPr>
        <w:pStyle w:val="Normal"/>
        <w:spacing w:after="120"/>
      </w:pPr>
      <w:r>
        <w:rPr>
          <w:sz w:val="22"/>
        </w:rPr>
        <w:t xml:space="preserve">The project fulfils all stated objectives: the dataset was thoroughly explored, associations were tested with formal hypothesis tests, composite features were engineered, multiple models were trained and compared with cross-validation, and results are presented honestly with appropriate caveats. While predictive performance is modest — a direct consequence of the synthetic data's structure — the workflow, analytical rigour, and honest interpretation represent the standard of practice expected in professional data science.</w:t>
      </w:r>
    </w:p>
    <w:p w14:paraId="001002EE" w14:textId="001002EF">
      <w:pPr>
        <w:pStyle w:val="Heading1"/>
        <w:spacing w:before="280" w:after="120"/>
      </w:pPr>
      <w:r>
        <w:rPr>
          <w:b/>
          <w:sz w:val="32"/>
        </w:rPr>
        <w:t xml:space="preserve">17. References</w:t>
      </w:r>
    </w:p>
    <w:p w14:paraId="001002F0" w14:textId="001002F1">
      <w:pPr>
        <w:pStyle w:val="Normal"/>
        <w:spacing w:after="80"/>
      </w:pPr>
      <w:r>
        <w:rPr>
          <w:sz w:val="22"/>
        </w:rPr>
        <w:t xml:space="preserve">[1] Shamim, A. (2024). Student Performance and Learning Behavior Dataset. Kaggle. https://www.kaggle.com/datasets/adilshamim8/student-performance-and-learning-style</w:t>
      </w:r>
    </w:p>
    <w:p w14:paraId="001002F2" w14:textId="001002F3">
      <w:pPr>
        <w:pStyle w:val="Normal"/>
        <w:spacing w:after="80"/>
      </w:pPr>
      <w:r>
        <w:rPr>
          <w:sz w:val="22"/>
        </w:rPr>
        <w:t xml:space="preserve">[2] Pedregosa, F. et al. (2011). Scikit-learn: Machine Learning in Python. Journal of Machine Learning Research, 12, 2825–2830.</w:t>
      </w:r>
    </w:p>
    <w:p w14:paraId="001002F4" w14:textId="001002F5">
      <w:pPr>
        <w:pStyle w:val="Normal"/>
        <w:spacing w:after="80"/>
      </w:pPr>
      <w:r>
        <w:rPr>
          <w:sz w:val="22"/>
        </w:rPr>
        <w:t xml:space="preserve">[3] McKinney, W. (2010). Data Structures for Statistical Computing in Python. Proceedings of the 9th Python in Science Conference, 51–56.</w:t>
      </w:r>
    </w:p>
    <w:p w14:paraId="001002F6" w14:textId="001002F7">
      <w:pPr>
        <w:pStyle w:val="Normal"/>
        <w:spacing w:after="80"/>
      </w:pPr>
      <w:r>
        <w:rPr>
          <w:sz w:val="22"/>
        </w:rPr>
        <w:t xml:space="preserve">[4] Virtanen, P. et al. (2020). SciPy 1.0: Fundamental Algorithms for Scientific Computing in Python. Nature Methods, 17, 261–272.</w:t>
      </w:r>
    </w:p>
    <w:p w14:paraId="001002F8" w14:textId="001002F9">
      <w:pPr>
        <w:pStyle w:val="Normal"/>
        <w:spacing w:after="80"/>
      </w:pPr>
      <w:r>
        <w:rPr>
          <w:sz w:val="22"/>
        </w:rPr>
        <w:t xml:space="preserve">[5] Waskom, M. (2021). seaborn: Statistical Data Visualization. Journal of Open Source Software, 6(60), 3021.</w:t>
      </w:r>
    </w:p>
    <w:p w14:paraId="001002FA" w14:textId="001002FB">
      <w:pPr>
        <w:pStyle w:val="Normal"/>
        <w:spacing w:after="80"/>
      </w:pPr>
      <w:r>
        <w:rPr>
          <w:sz w:val="22"/>
        </w:rPr>
        <w:t xml:space="preserve">[6] Romero, C., &amp; Ventura, S. (2010). Educational Data Mining: A Review of the State of the Art. IEEE Transactions on Systems, Man, and Cybernetics, Part C, 40(6), 601–618.</w:t>
      </w:r>
    </w:p>
    <w:p w14:paraId="001002FC" w14:textId="001002FD">
      <w:pPr>
        <w:pStyle w:val="Normal"/>
        <w:spacing w:after="80"/>
      </w:pPr>
      <w:r>
        <w:rPr>
          <w:sz w:val="22"/>
        </w:rPr>
        <w:t xml:space="preserve">[7] Breiman, L. (2001). Random Forests. Machine Learning, 45, 5–32.</w:t>
      </w:r>
    </w:p>
    <w:p w14:paraId="001002FE" w14:textId="001002FF">
      <w:pPr>
        <w:pStyle w:val="Normal"/>
        <w:spacing w:after="400"/>
      </w:pPr>
      <w:r>
        <w:rPr>
          <w:sz w:val="22"/>
        </w:rPr>
        <w:t xml:space="preserve">[8] IBM SkillsBuild. (2026). Data Analytics with AI Academic Internship Programme. BharatCares in association with AICTE.</w:t>
      </w:r>
    </w:p>
    <w:p w14:paraId="00100300" w14:textId="00100301">
      <w:pPr>
        <w:pStyle w:val="Normal"/>
        <w:spacing w:after="120"/>
        <w:jc w:val="center"/>
      </w:pPr>
      <w:r>
        <w:rPr>
          <w:sz w:val="22"/>
        </w:rPr>
        <w:t xml:space="preserve">--- End of Report ---</w:t>
      </w:r>
    </w:p>
    <w:sectPr>
      <w:footerReference w:type="default" r:id="R7f53b2d7d80948f7"/>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302" w14:textId="00100303">
    <w:pPr/>
    <w:r>
      <w:fldChar w:fldCharType="begin"/>
    </w:r>
    <w:r>
      <w:instrText xml:space="preserve"> PAGE </w:instrText>
    </w:r>
    <w:r>
      <w:fldChar w:fldCharType="separate"/>
    </w:r>
    <w:r>
      <w:t xml:space="preserve">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ed547caa43ae4648" /><Relationship Type="http://schemas.openxmlformats.org/officeDocument/2006/relationships/styles" Target="/word/styles.xml" Id="R25892f4647344a14" /><Relationship Type="http://schemas.openxmlformats.org/officeDocument/2006/relationships/theme" Target="/word/theme/theme1.xml" Id="Ref09cc9d91a8431b" /><Relationship Type="http://schemas.openxmlformats.org/officeDocument/2006/relationships/numbering" Target="/word/numbering.xml" Id="Rcdd64f8948084489" /><Relationship Type="http://schemas.openxmlformats.org/officeDocument/2006/relationships/footer" Target="/word/footer1.xml" Id="R7f53b2d7d80948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OfficeCLI/1.0.148</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2026-09-21T08:02:10Z</dcterms:created>
  <cp:lastModifiedBy>OfficeCLI</cp:lastModifiedBy>
  <dcterms:modified xsi:type="dcterms:W3CDTF">2026-09-21T08:02:10Z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2026-09-21T08:11:49Z</vt:lpwstr>
  </op:property>
</op:Properties>
</file>