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C059" w:hAnsi="C059" w:eastAsia="C059" w:cs="C059"/>
          <w:b/>
          <w:bCs/>
          <w:sz w:val="24"/>
          <w:szCs w:val="24"/>
          <w:highlight w:val="none"/>
        </w:rPr>
      </w:pPr>
      <w:r>
        <w:rPr>
          <w:rFonts w:ascii="C059" w:hAnsi="C059" w:eastAsia="C059" w:cs="C059"/>
          <w:b/>
          <w:bCs/>
          <w:sz w:val="24"/>
          <w:szCs w:val="24"/>
        </w:rPr>
        <w:t xml:space="preserve">Ibne Kathir:</w:t>
      </w:r>
      <w:r>
        <w:rPr>
          <w:rFonts w:ascii="C059" w:hAnsi="C059" w:cs="C059"/>
          <w:b/>
          <w:bCs/>
          <w:sz w:val="24"/>
          <w:szCs w:val="24"/>
        </w:rPr>
      </w:r>
    </w:p>
    <w:p w14:paraId="419F6425">
      <w:pPr>
        <w:pBdr/>
        <w:spacing/>
        <w:ind/>
        <w:rPr>
          <w:rFonts w:ascii="C059" w:hAnsi="C059" w:eastAsia="C059" w:cs="C059"/>
          <w:b w:val="0"/>
          <w:bCs w:val="0"/>
          <w:sz w:val="24"/>
          <w:szCs w:val="24"/>
          <w:highlight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  <w:t xml:space="preserve">Identity: </w:t>
      </w:r>
      <w:r>
        <w:rPr>
          <w:rFonts w:ascii="C059" w:hAnsi="C059" w:cs="C059"/>
          <w:b w:val="0"/>
          <w:bCs w:val="0"/>
          <w:sz w:val="24"/>
          <w:szCs w:val="24"/>
        </w:rPr>
      </w:r>
    </w:p>
    <w:p w14:paraId="6A025902">
      <w:pPr>
        <w:pBdr/>
        <w:spacing/>
        <w:ind/>
        <w:rPr>
          <w:rFonts w:ascii="C059" w:hAnsi="C059" w:eastAsia="C059" w:cs="C059"/>
          <w:b w:val="0"/>
          <w:bCs w:val="0"/>
          <w:sz w:val="24"/>
          <w:szCs w:val="24"/>
          <w:highlight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  <w:t xml:space="preserve">Name: Ibn Kathir</w:t>
      </w:r>
      <w:r>
        <w:rPr>
          <w:rFonts w:ascii="C059" w:hAnsi="C059" w:cs="C059"/>
          <w:b w:val="0"/>
          <w:bCs w:val="0"/>
          <w:sz w:val="24"/>
          <w:szCs w:val="24"/>
        </w:rPr>
      </w:r>
    </w:p>
    <w:p w14:paraId="24E7881E">
      <w:pPr>
        <w:pBdr/>
        <w:spacing/>
        <w:ind/>
        <w:rPr>
          <w:rFonts w:ascii="C059" w:hAnsi="C059" w:eastAsia="C059" w:cs="C059"/>
          <w:b w:val="0"/>
          <w:bCs w:val="0"/>
          <w:sz w:val="24"/>
          <w:szCs w:val="24"/>
          <w:highlight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  <w:t xml:space="preserve">Full Name: Ismail ibn Umar ibn Kathir(1300 - 1373 ce)</w:t>
      </w:r>
      <w:r>
        <w:rPr>
          <w:rFonts w:ascii="C059" w:hAnsi="C059" w:cs="C059"/>
          <w:b w:val="0"/>
          <w:bCs w:val="0"/>
          <w:sz w:val="24"/>
          <w:szCs w:val="24"/>
        </w:rPr>
      </w:r>
    </w:p>
    <w:p w14:paraId="155CEDB7">
      <w:pPr>
        <w:pBdr/>
        <w:spacing/>
        <w:ind/>
        <w:rPr>
          <w:rFonts w:ascii="C059" w:hAnsi="C059" w:eastAsia="C059" w:cs="C059"/>
          <w:b w:val="0"/>
          <w:bCs w:val="0"/>
          <w:sz w:val="24"/>
          <w:szCs w:val="24"/>
          <w:highlight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  <w:t xml:space="preserve">Background:</w:t>
      </w:r>
      <w:r>
        <w:rPr>
          <w:rFonts w:ascii="C059" w:hAnsi="C059" w:cs="C059"/>
          <w:b w:val="0"/>
          <w:bCs w:val="0"/>
          <w:sz w:val="24"/>
          <w:szCs w:val="24"/>
        </w:rPr>
      </w:r>
    </w:p>
    <w:p w14:paraId="71704F81">
      <w:pPr>
        <w:pBdr/>
        <w:spacing/>
        <w:ind/>
        <w:rPr>
          <w:rFonts w:ascii="C059" w:hAnsi="C059" w:eastAsia="C059" w:cs="C059"/>
          <w:b w:val="0"/>
          <w:bCs w:val="0"/>
          <w:sz w:val="24"/>
          <w:szCs w:val="24"/>
          <w:highlight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  <w:t xml:space="preserve">Born in Busra(near Dmascus)</w:t>
      </w:r>
      <w:r>
        <w:rPr>
          <w:rFonts w:ascii="C059" w:hAnsi="C059" w:cs="C059"/>
          <w:b w:val="0"/>
          <w:bCs w:val="0"/>
          <w:sz w:val="24"/>
          <w:szCs w:val="24"/>
        </w:rPr>
      </w:r>
    </w:p>
    <w:p w14:paraId="1C41F7F0">
      <w:pPr>
        <w:pBdr/>
        <w:spacing/>
        <w:ind/>
        <w:rPr>
          <w:rFonts w:ascii="C059" w:hAnsi="C059" w:eastAsia="C059" w:cs="C059"/>
          <w:b w:val="0"/>
          <w:bCs w:val="0"/>
          <w:sz w:val="24"/>
          <w:szCs w:val="24"/>
          <w:highlight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  <w:t xml:space="preserve">Lived and taught in Damascus</w:t>
      </w:r>
      <w:r>
        <w:rPr>
          <w:rFonts w:ascii="C059" w:hAnsi="C059" w:cs="C059"/>
          <w:b w:val="0"/>
          <w:bCs w:val="0"/>
          <w:sz w:val="24"/>
          <w:szCs w:val="24"/>
        </w:rPr>
      </w:r>
    </w:p>
    <w:p w14:paraId="386E96AA">
      <w:pPr>
        <w:pBdr/>
        <w:spacing/>
        <w:ind/>
        <w:rPr>
          <w:rFonts w:ascii="C059" w:hAnsi="C059" w:eastAsia="C059" w:cs="C059"/>
          <w:b w:val="0"/>
          <w:bCs w:val="0"/>
          <w:sz w:val="24"/>
          <w:szCs w:val="24"/>
          <w:highlight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  <w:t xml:space="preserve">A leading scholar of:</w:t>
      </w:r>
      <w:r>
        <w:rPr>
          <w:rFonts w:ascii="C059" w:hAnsi="C059" w:cs="C059"/>
          <w:b w:val="0"/>
          <w:bCs w:val="0"/>
          <w:sz w:val="24"/>
          <w:szCs w:val="24"/>
        </w:rPr>
      </w:r>
    </w:p>
    <w:p w14:paraId="57AF4EE7">
      <w:pPr>
        <w:pStyle w:val="668"/>
        <w:numPr>
          <w:ilvl w:val="0"/>
          <w:numId w:val="1"/>
        </w:numPr>
        <w:pBdr/>
        <w:spacing/>
        <w:ind/>
        <w:rPr>
          <w:rFonts w:ascii="C059" w:hAnsi="C059" w:cs="C059"/>
          <w:b w:val="0"/>
          <w:bCs w:val="0"/>
          <w:sz w:val="24"/>
          <w:szCs w:val="24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  <w:t xml:space="preserve">Tafsir</w:t>
      </w:r>
      <w:r>
        <w:rPr>
          <w:rFonts w:ascii="C059" w:hAnsi="C059" w:cs="C059"/>
          <w:b w:val="0"/>
          <w:bCs w:val="0"/>
          <w:sz w:val="24"/>
          <w:szCs w:val="24"/>
        </w:rPr>
      </w:r>
    </w:p>
    <w:p w14:paraId="042F06DC">
      <w:pPr>
        <w:pStyle w:val="668"/>
        <w:numPr>
          <w:ilvl w:val="0"/>
          <w:numId w:val="1"/>
        </w:numPr>
        <w:pBdr/>
        <w:spacing/>
        <w:ind/>
        <w:rPr>
          <w:rFonts w:ascii="C059" w:hAnsi="C059" w:cs="C059"/>
          <w:b w:val="0"/>
          <w:bCs w:val="0"/>
          <w:sz w:val="24"/>
          <w:szCs w:val="24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  <w:t xml:space="preserve">Hadith</w:t>
      </w:r>
      <w:r>
        <w:rPr>
          <w:rFonts w:ascii="C059" w:hAnsi="C059" w:cs="C059"/>
          <w:b w:val="0"/>
          <w:bCs w:val="0"/>
          <w:sz w:val="24"/>
          <w:szCs w:val="24"/>
        </w:rPr>
      </w:r>
    </w:p>
    <w:p w14:paraId="32244717">
      <w:pPr>
        <w:pStyle w:val="668"/>
        <w:numPr>
          <w:ilvl w:val="0"/>
          <w:numId w:val="1"/>
        </w:numPr>
        <w:pBdr/>
        <w:spacing/>
        <w:ind/>
        <w:rPr>
          <w:rFonts w:ascii="C059" w:hAnsi="C059" w:cs="C059"/>
          <w:b w:val="0"/>
          <w:bCs w:val="0"/>
          <w:sz w:val="24"/>
          <w:szCs w:val="24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  <w:t xml:space="preserve">Islamic History</w:t>
      </w:r>
      <w:r>
        <w:rPr>
          <w:rFonts w:ascii="C059" w:hAnsi="C059" w:cs="C059"/>
          <w:b w:val="0"/>
          <w:bCs w:val="0"/>
          <w:sz w:val="24"/>
          <w:szCs w:val="24"/>
        </w:rPr>
      </w:r>
    </w:p>
    <w:p w14:paraId="6B5802BA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  <w:t xml:space="preserve">Teachers &amp; Influence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</w:r>
    </w:p>
    <w:p w14:paraId="73D6D740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  <w:t xml:space="preserve">Student of Ibn Taymiyyah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</w:r>
    </w:p>
    <w:p w14:paraId="42C51C13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  <w:t xml:space="preserve">Influenced by classical Sunni orthodoxy</w:t>
      </w:r>
      <w:r>
        <w:rPr>
          <w:rStyle w:val="183"/>
          <w:rFonts w:ascii="C059" w:hAnsi="C059" w:eastAsia="C059" w:cs="C059"/>
          <w:b w:val="0"/>
          <w:bCs w:val="0"/>
          <w:sz w:val="24"/>
          <w:szCs w:val="24"/>
          <w:highlight w:val="none"/>
        </w:rPr>
        <w:footnoteReference w:id="2"/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  <w:t xml:space="preserve">(Athari Approah)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</w:rPr>
      </w:r>
    </w:p>
    <w:p w14:paraId="5771A365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singl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single"/>
        </w:rPr>
        <w:t xml:space="preserve">Intellectual Environment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single"/>
        </w:rPr>
      </w:r>
    </w:p>
    <w:p w14:paraId="7135F402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14th Century Mamluk Era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10D3C66D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After major upheavals like: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741A212B">
      <w:pPr>
        <w:pStyle w:val="668"/>
        <w:numPr>
          <w:ilvl w:val="0"/>
          <w:numId w:val="2"/>
        </w:numPr>
        <w:pBdr/>
        <w:spacing/>
        <w:ind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Mongol invasions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6B424484">
      <w:pPr>
        <w:pStyle w:val="668"/>
        <w:numPr>
          <w:ilvl w:val="0"/>
          <w:numId w:val="2"/>
        </w:numPr>
        <w:pBdr/>
        <w:spacing/>
        <w:ind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Fall of major Islamic centers(e.g., Baghdad earlier)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7D043F96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Scholarly Climate: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2E866571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Strong focus on: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320476C3">
      <w:pPr>
        <w:pStyle w:val="668"/>
        <w:numPr>
          <w:ilvl w:val="0"/>
          <w:numId w:val="3"/>
        </w:numPr>
        <w:pBdr/>
        <w:spacing/>
        <w:ind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Preserving Authentic knowledge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1616B32F">
      <w:pPr>
        <w:pStyle w:val="668"/>
        <w:numPr>
          <w:ilvl w:val="0"/>
          <w:numId w:val="3"/>
        </w:numPr>
        <w:pBdr/>
        <w:spacing/>
        <w:ind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Filtering weak narrations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6F2FFA95">
      <w:pPr>
        <w:pStyle w:val="668"/>
        <w:numPr>
          <w:ilvl w:val="0"/>
          <w:numId w:val="3"/>
        </w:numPr>
        <w:pBdr/>
        <w:spacing/>
        <w:ind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Returning to Quran &amp; Sahih Hadith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452E9378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singl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single"/>
        </w:rPr>
        <w:t xml:space="preserve">Ibn e Kathir’s Role: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single"/>
        </w:rPr>
      </w:r>
    </w:p>
    <w:p w14:paraId="551450FE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Among Scholars who: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3B87E057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Systemized Islamic History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3F43CFA3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Emphasized authentic chains(isnad)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4BAB999E">
      <w:pPr>
        <w:pBdr/>
        <w:spacing/>
        <w:ind w:firstLine="0" w:left="0"/>
        <w:rPr>
          <w:rFonts w:ascii="C059" w:hAnsi="C059" w:eastAsia="C059" w:cs="C059"/>
          <w:b/>
          <w:bCs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/>
          <w:bCs/>
          <w:sz w:val="24"/>
          <w:szCs w:val="24"/>
          <w:highlight w:val="none"/>
          <w:u w:val="none"/>
        </w:rPr>
        <w:t xml:space="preserve">What is Qasa al anbiya?</w:t>
      </w:r>
      <w:r>
        <w:rPr>
          <w:rFonts w:ascii="C059" w:hAnsi="C059" w:eastAsia="C059" w:cs="C059"/>
          <w:b/>
          <w:bCs/>
          <w:sz w:val="24"/>
          <w:szCs w:val="24"/>
          <w:highlight w:val="none"/>
          <w:u w:val="none"/>
        </w:rPr>
      </w:r>
    </w:p>
    <w:p w14:paraId="01B8BDEA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A historical-theological compilation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5318A432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Narrates lives of Prophets from: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29F677F6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Quran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6DDDAC2E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Authentic Hadith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5B55BC3E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Earlier historical reports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22AFEB28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Structure: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0A0E03E7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Chronological (Adam –Muhammad (SAW))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4019D3D1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Each Prophet: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79088366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Story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3D1D8508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Quranic References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7A4C317C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Commentary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147DAC1D">
      <w:pPr>
        <w:pBdr/>
        <w:spacing/>
        <w:ind w:firstLine="0" w:left="0"/>
        <w:rPr>
          <w:rFonts w:ascii="C059" w:hAnsi="C059" w:eastAsia="C059" w:cs="C059"/>
          <w:b/>
          <w:bCs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/>
          <w:bCs/>
          <w:sz w:val="24"/>
          <w:szCs w:val="24"/>
          <w:highlight w:val="none"/>
          <w:u w:val="none"/>
        </w:rPr>
        <w:t xml:space="preserve"> Why was it written?</w:t>
      </w:r>
      <w:r>
        <w:rPr>
          <w:rFonts w:ascii="C059" w:hAnsi="C059" w:eastAsia="C059" w:cs="C059"/>
          <w:b/>
          <w:bCs/>
          <w:sz w:val="24"/>
          <w:szCs w:val="24"/>
          <w:highlight w:val="none"/>
          <w:u w:val="none"/>
        </w:rPr>
      </w:r>
    </w:p>
    <w:p w14:paraId="6E705535">
      <w:pPr>
        <w:pBdr/>
        <w:spacing/>
        <w:ind w:firstLine="0" w:left="0"/>
        <w:rPr>
          <w:rFonts w:ascii="C059" w:hAnsi="C059" w:eastAsia="C059" w:cs="C059"/>
          <w:b/>
          <w:bCs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/>
          <w:bCs/>
          <w:sz w:val="24"/>
          <w:szCs w:val="24"/>
          <w:highlight w:val="none"/>
          <w:u w:val="none"/>
        </w:rPr>
        <w:t xml:space="preserve">Core Purpose to:</w:t>
      </w:r>
      <w:r>
        <w:rPr>
          <w:rFonts w:ascii="C059" w:hAnsi="C059" w:eastAsia="C059" w:cs="C059"/>
          <w:b/>
          <w:bCs/>
          <w:sz w:val="24"/>
          <w:szCs w:val="24"/>
          <w:highlight w:val="none"/>
          <w:u w:val="none"/>
        </w:rPr>
      </w:r>
    </w:p>
    <w:p w14:paraId="2559D8BE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 Teach </w:t>
      </w:r>
      <w:r>
        <w:rPr>
          <w:rFonts w:ascii="C059" w:hAnsi="C059" w:eastAsia="C059" w:cs="C059"/>
          <w:b/>
          <w:bCs/>
          <w:sz w:val="24"/>
          <w:szCs w:val="24"/>
          <w:highlight w:val="none"/>
          <w:u w:val="none"/>
        </w:rPr>
        <w:t xml:space="preserve"> Tawheed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 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42237412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Provide moral and spiritual lessons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4A1A795A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Clarify true prophetic narratives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5F98ADAF">
      <w:pPr>
        <w:pBdr/>
        <w:spacing/>
        <w:ind w:firstLine="0" w:left="0"/>
        <w:rPr>
          <w:rFonts w:ascii="C059" w:hAnsi="C059" w:eastAsia="C059" w:cs="C059"/>
          <w:b/>
          <w:bCs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/>
          <w:bCs/>
          <w:sz w:val="24"/>
          <w:szCs w:val="24"/>
          <w:highlight w:val="none"/>
          <w:u w:val="none"/>
        </w:rPr>
        <w:t xml:space="preserve">Problem he addressed</w:t>
      </w:r>
      <w:r>
        <w:rPr>
          <w:rFonts w:ascii="C059" w:hAnsi="C059" w:eastAsia="C059" w:cs="C059"/>
          <w:b/>
          <w:bCs/>
          <w:sz w:val="24"/>
          <w:szCs w:val="24"/>
          <w:highlight w:val="none"/>
          <w:u w:val="none"/>
        </w:rPr>
      </w:r>
    </w:p>
    <w:p w14:paraId="769381C6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 Earlier works included: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74A407BB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Fabricated or weak narrations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7501F9EE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INfluence from: 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Israilliyat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52B972B7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Ibn e Kathir Response: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7F4F94A3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 Critically evaluate narrations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544340F3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Accepts: 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695CBE84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Authentic(Sahih)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4BB380ED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Compatible reports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1E6C0379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Reject contradctory or fabricated stories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5A8AB467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7BED3749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br w:type="page" w:clear="all"/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  <w:r/>
    </w:p>
    <w:p w14:paraId="0D37CF0E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Prophet Adam A.S: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55CBA352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And He taught Adam the names of all things. (Surah Al Baqarah 2:31)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35015EDB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Key points: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4666A94D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First Human and first Prophet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5621644A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Created from Clay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16E6AB0D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Given Knowledge —&gt; Symbol of human intellect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61B37642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From ahadith: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64A20027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Created on Friday (Sahih Muslim)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337CB66C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t xml:space="preserve">Height described as 60 cubit initially</w:t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50BD850E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71BB33D6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  <w:br w:type="page" w:clear="all"/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  <w:r/>
    </w:p>
    <w:p w14:paraId="54B715F2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  <w:r/>
    </w:p>
    <w:p w14:paraId="77297245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p w14:paraId="60F03D4F">
      <w:pPr>
        <w:pBdr/>
        <w:spacing/>
        <w:ind w:firstLine="0" w:left="0"/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pP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  <w:r>
        <w:rPr>
          <w:rFonts w:ascii="C059" w:hAnsi="C059" w:eastAsia="C059" w:cs="C059"/>
          <w:b w:val="0"/>
          <w:bCs w:val="0"/>
          <w:sz w:val="24"/>
          <w:szCs w:val="24"/>
          <w:highlight w:val="none"/>
          <w:u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059">
    <w:panose1 w:val="00000500000000000000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  <w:footnote w:id="2">
    <w:p w14:paraId="2723102C">
      <w:pPr>
        <w:pStyle w:val="181"/>
        <w:pBdr/>
        <w:spacing/>
        <w:ind/>
        <w:rPr/>
      </w:pPr>
      <w:r>
        <w:rPr>
          <w:rStyle w:val="183"/>
        </w:rPr>
        <w:footnoteRef/>
      </w:r>
      <w:r>
        <w:t xml:space="preserve"> Orthoxy refers to adherence to commonly accepted, traditional, or “Correct” beliefs and practices, particularly in religion. Derived from greek for “right opinion” it implies conformity to established doctrine.</w:t>
      </w: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CB85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D47BF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3B23C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2026-04-05T15:16:20Z</dcterms:modified>
</cp:coreProperties>
</file>