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FF8D" w14:textId="1221924B" w:rsidR="00F306DB" w:rsidRDefault="0091587F" w:rsidP="00A663AE">
      <w:pPr>
        <w:tabs>
          <w:tab w:val="center" w:pos="4860"/>
          <w:tab w:val="right" w:pos="9000"/>
        </w:tabs>
        <w:spacing w:after="240" w:line="300" w:lineRule="atLeast"/>
        <w:jc w:val="both"/>
        <w:rPr>
          <w:b/>
          <w:sz w:val="24"/>
          <w:szCs w:val="24"/>
        </w:rPr>
      </w:pPr>
      <w:r w:rsidRPr="00A53C9D">
        <w:rPr>
          <w:b/>
          <w:sz w:val="24"/>
          <w:szCs w:val="24"/>
        </w:rPr>
        <w:t>In</w:t>
      </w:r>
      <w:r w:rsidR="00C54E44">
        <w:rPr>
          <w:b/>
          <w:sz w:val="24"/>
          <w:szCs w:val="24"/>
        </w:rPr>
        <w:t>vestments</w:t>
      </w:r>
      <w:r w:rsidR="00F306DB" w:rsidRPr="00120AA4">
        <w:rPr>
          <w:b/>
          <w:sz w:val="24"/>
          <w:szCs w:val="24"/>
        </w:rPr>
        <w:tab/>
        <w:t xml:space="preserve">Problem Sheet </w:t>
      </w:r>
      <w:r w:rsidR="00C54E44">
        <w:rPr>
          <w:b/>
          <w:sz w:val="24"/>
          <w:szCs w:val="24"/>
        </w:rPr>
        <w:t>9</w:t>
      </w:r>
      <w:r w:rsidR="00F306DB" w:rsidRPr="00120AA4">
        <w:rPr>
          <w:b/>
          <w:sz w:val="24"/>
          <w:szCs w:val="24"/>
        </w:rPr>
        <w:tab/>
      </w:r>
      <w:r w:rsidR="00C54E44">
        <w:rPr>
          <w:b/>
          <w:sz w:val="24"/>
          <w:szCs w:val="24"/>
        </w:rPr>
        <w:t>Lent</w:t>
      </w:r>
      <w:r w:rsidR="00F306DB" w:rsidRPr="00120AA4">
        <w:rPr>
          <w:b/>
          <w:sz w:val="24"/>
          <w:szCs w:val="24"/>
        </w:rPr>
        <w:t xml:space="preserve"> Term 20</w:t>
      </w:r>
      <w:r w:rsidR="00A663AE">
        <w:rPr>
          <w:b/>
          <w:sz w:val="24"/>
          <w:szCs w:val="24"/>
        </w:rPr>
        <w:t>2</w:t>
      </w:r>
      <w:r w:rsidR="006B1C0A">
        <w:rPr>
          <w:b/>
          <w:sz w:val="24"/>
          <w:szCs w:val="24"/>
        </w:rPr>
        <w:t>4</w:t>
      </w:r>
    </w:p>
    <w:p w14:paraId="78AEA421" w14:textId="77777777" w:rsidR="00A663AE" w:rsidRDefault="00A663AE" w:rsidP="00A663AE">
      <w:pPr>
        <w:tabs>
          <w:tab w:val="center" w:pos="4860"/>
          <w:tab w:val="right" w:pos="9000"/>
        </w:tabs>
        <w:spacing w:after="240" w:line="300" w:lineRule="atLeast"/>
        <w:jc w:val="both"/>
        <w:rPr>
          <w:b/>
          <w:sz w:val="24"/>
          <w:szCs w:val="24"/>
        </w:rPr>
      </w:pPr>
    </w:p>
    <w:p w14:paraId="5EDB7302" w14:textId="77777777" w:rsidR="00A663AE" w:rsidRDefault="00A663AE" w:rsidP="00A663AE">
      <w:pPr>
        <w:spacing w:line="0" w:lineRule="atLeast"/>
        <w:ind w:left="140"/>
        <w:jc w:val="both"/>
        <w:rPr>
          <w:rFonts w:ascii="Garamond" w:eastAsia="Garamond" w:hAnsi="Garamond"/>
          <w:b/>
          <w:sz w:val="24"/>
        </w:rPr>
      </w:pPr>
      <w:r>
        <w:rPr>
          <w:rFonts w:ascii="Garamond" w:eastAsia="Garamond" w:hAnsi="Garamond"/>
          <w:b/>
          <w:sz w:val="24"/>
        </w:rPr>
        <w:t>Question 1</w:t>
      </w:r>
    </w:p>
    <w:p w14:paraId="23D7F8A8" w14:textId="77777777" w:rsidR="00A663AE" w:rsidRDefault="00A663AE" w:rsidP="00A663AE">
      <w:pPr>
        <w:spacing w:line="272" w:lineRule="exact"/>
        <w:jc w:val="both"/>
        <w:rPr>
          <w:sz w:val="24"/>
        </w:rPr>
      </w:pPr>
    </w:p>
    <w:p w14:paraId="2F6B1235" w14:textId="77777777" w:rsidR="00A663AE" w:rsidRPr="00A663AE" w:rsidRDefault="00A663AE" w:rsidP="00A663AE">
      <w:pPr>
        <w:spacing w:line="0" w:lineRule="atLeast"/>
        <w:ind w:left="140"/>
        <w:jc w:val="both"/>
        <w:rPr>
          <w:rFonts w:eastAsia="Garamond"/>
          <w:sz w:val="24"/>
          <w:szCs w:val="24"/>
        </w:rPr>
      </w:pPr>
      <w:r w:rsidRPr="00A663AE">
        <w:rPr>
          <w:rFonts w:eastAsia="Garamond"/>
          <w:sz w:val="24"/>
          <w:szCs w:val="24"/>
        </w:rPr>
        <w:t>Explain the five major differences between hedge funds and mutual funds.</w:t>
      </w:r>
    </w:p>
    <w:p w14:paraId="39A6588A" w14:textId="77777777" w:rsidR="00AE120C" w:rsidRPr="00AE120C" w:rsidRDefault="00AE120C" w:rsidP="00A663AE">
      <w:pPr>
        <w:spacing w:line="270" w:lineRule="exact"/>
        <w:jc w:val="both"/>
        <w:rPr>
          <w:b/>
          <w:sz w:val="24"/>
          <w:szCs w:val="24"/>
        </w:rPr>
      </w:pPr>
      <w:r w:rsidRPr="00AE120C">
        <w:rPr>
          <w:b/>
          <w:sz w:val="24"/>
          <w:szCs w:val="24"/>
        </w:rPr>
        <w:t>Answer:</w:t>
      </w:r>
    </w:p>
    <w:p w14:paraId="3D9F8571" w14:textId="77777777" w:rsidR="00A663AE" w:rsidRPr="00A663AE" w:rsidRDefault="00A663AE" w:rsidP="00A663AE">
      <w:pPr>
        <w:spacing w:line="274" w:lineRule="auto"/>
        <w:ind w:left="140" w:right="900" w:firstLine="580"/>
        <w:contextualSpacing/>
        <w:jc w:val="both"/>
        <w:rPr>
          <w:sz w:val="24"/>
          <w:szCs w:val="24"/>
        </w:rPr>
      </w:pPr>
      <w:r w:rsidRPr="00A663AE">
        <w:rPr>
          <w:rFonts w:eastAsia="Garamond"/>
          <w:sz w:val="24"/>
          <w:szCs w:val="24"/>
        </w:rPr>
        <w:t>The five major categories of differences are transparency, investors, investment strategies, liquidity, and compensation structure.</w:t>
      </w:r>
    </w:p>
    <w:p w14:paraId="2BCF1BB1" w14:textId="77777777" w:rsidR="00A663AE" w:rsidRDefault="00A663AE" w:rsidP="00A663AE">
      <w:pPr>
        <w:spacing w:line="257" w:lineRule="auto"/>
        <w:ind w:left="140" w:right="680" w:firstLine="580"/>
        <w:contextualSpacing/>
        <w:jc w:val="both"/>
        <w:rPr>
          <w:rFonts w:eastAsia="Garamond"/>
          <w:sz w:val="24"/>
          <w:szCs w:val="24"/>
        </w:rPr>
      </w:pPr>
      <w:r w:rsidRPr="00A663AE">
        <w:rPr>
          <w:rFonts w:eastAsia="Garamond"/>
          <w:sz w:val="24"/>
          <w:szCs w:val="24"/>
        </w:rPr>
        <w:t>Mutual funds are more highly regulated by the SEC and thus are required to be far more transparent. Hedge funds provide only minimal information about portfolio composition or strategy.</w:t>
      </w:r>
      <w:r>
        <w:rPr>
          <w:rFonts w:eastAsia="Garamond"/>
          <w:sz w:val="24"/>
          <w:szCs w:val="24"/>
        </w:rPr>
        <w:t xml:space="preserve"> </w:t>
      </w:r>
    </w:p>
    <w:p w14:paraId="43660E65" w14:textId="77777777" w:rsidR="00A663AE" w:rsidRDefault="00A663AE" w:rsidP="00A663AE">
      <w:pPr>
        <w:spacing w:line="257" w:lineRule="auto"/>
        <w:ind w:left="140" w:right="680" w:firstLine="580"/>
        <w:contextualSpacing/>
        <w:jc w:val="both"/>
        <w:rPr>
          <w:rFonts w:eastAsia="Garamond"/>
          <w:sz w:val="24"/>
          <w:szCs w:val="24"/>
        </w:rPr>
      </w:pPr>
      <w:r w:rsidRPr="00A663AE">
        <w:rPr>
          <w:rFonts w:eastAsia="Garamond"/>
          <w:sz w:val="24"/>
          <w:szCs w:val="24"/>
        </w:rPr>
        <w:t>Investors in hedge funds differ in that investment minimums were traditionally set at $250,000 to $1,000,000. While newer hedge funds are starting to reduce the minimum investment to $25,000, this minimum is outside the reach of many mutual fund investors.</w:t>
      </w:r>
    </w:p>
    <w:p w14:paraId="3D432244" w14:textId="77777777" w:rsidR="00A663AE" w:rsidRDefault="00A663AE" w:rsidP="00A663AE">
      <w:pPr>
        <w:spacing w:line="257" w:lineRule="auto"/>
        <w:ind w:left="140" w:right="680" w:firstLine="580"/>
        <w:contextualSpacing/>
        <w:jc w:val="both"/>
        <w:rPr>
          <w:rFonts w:eastAsia="Garamond"/>
          <w:sz w:val="24"/>
          <w:szCs w:val="24"/>
        </w:rPr>
      </w:pPr>
      <w:r w:rsidRPr="00A663AE">
        <w:rPr>
          <w:rFonts w:eastAsia="Garamond"/>
          <w:sz w:val="24"/>
          <w:szCs w:val="24"/>
        </w:rPr>
        <w:t>Mutual funds must provide an investment strategy and are restricted in the use of leverage, short selling, and in their use of derivatives. However, hedge funds are less restricted and frequently make large bets that can results in large losses over the short term.</w:t>
      </w:r>
    </w:p>
    <w:p w14:paraId="538661EB" w14:textId="77777777" w:rsidR="00AE120C" w:rsidRDefault="00A663AE" w:rsidP="00AE120C">
      <w:pPr>
        <w:spacing w:line="257" w:lineRule="auto"/>
        <w:ind w:left="140" w:right="680" w:firstLine="580"/>
        <w:contextualSpacing/>
        <w:jc w:val="both"/>
        <w:rPr>
          <w:rFonts w:eastAsia="Garamond"/>
          <w:sz w:val="24"/>
          <w:szCs w:val="24"/>
        </w:rPr>
      </w:pPr>
      <w:r w:rsidRPr="00A663AE">
        <w:rPr>
          <w:rFonts w:eastAsia="Garamond"/>
          <w:sz w:val="24"/>
          <w:szCs w:val="24"/>
        </w:rPr>
        <w:t>Mutual funds are liquid and investors can redeem shares at NAV and have proceeds within seven business days. Conversely, hedge funds often impose lock-up periods as long as several years and require redemption notices of several months even after the lock-up period is over. Thus, hedge funds are far less liquid.</w:t>
      </w:r>
    </w:p>
    <w:p w14:paraId="65675EB1" w14:textId="77777777" w:rsidR="00A663AE" w:rsidRPr="00A663AE" w:rsidRDefault="00A663AE" w:rsidP="00AE120C">
      <w:pPr>
        <w:spacing w:line="257" w:lineRule="auto"/>
        <w:ind w:left="140" w:right="680" w:firstLine="580"/>
        <w:contextualSpacing/>
        <w:jc w:val="both"/>
        <w:rPr>
          <w:rFonts w:eastAsia="Garamond"/>
          <w:sz w:val="24"/>
          <w:szCs w:val="24"/>
        </w:rPr>
      </w:pPr>
      <w:r w:rsidRPr="00A663AE">
        <w:rPr>
          <w:rFonts w:eastAsia="Garamond"/>
          <w:sz w:val="24"/>
          <w:szCs w:val="24"/>
        </w:rPr>
        <w:t>While mutual funds charge a management fee, hedge funds add an incentive fee as well. This incentive fee is similar to a call option and the portfolio manager receives a "performance" bonus if the portfolio outperforms the chosen benchmark.</w:t>
      </w:r>
    </w:p>
    <w:p w14:paraId="49A8A2D6" w14:textId="77777777" w:rsidR="00A663AE" w:rsidRPr="00A663AE" w:rsidRDefault="00A663AE" w:rsidP="00A663AE">
      <w:pPr>
        <w:spacing w:line="210" w:lineRule="exact"/>
        <w:contextualSpacing/>
        <w:jc w:val="both"/>
        <w:rPr>
          <w:sz w:val="24"/>
          <w:szCs w:val="24"/>
        </w:rPr>
      </w:pPr>
    </w:p>
    <w:p w14:paraId="657BD337" w14:textId="77777777" w:rsidR="00A663AE" w:rsidRPr="00A663AE" w:rsidRDefault="00A663AE" w:rsidP="00A663AE">
      <w:pPr>
        <w:spacing w:line="0" w:lineRule="atLeast"/>
        <w:ind w:left="140"/>
        <w:jc w:val="both"/>
        <w:rPr>
          <w:rFonts w:eastAsia="Garamond"/>
          <w:b/>
          <w:sz w:val="24"/>
          <w:szCs w:val="24"/>
        </w:rPr>
      </w:pPr>
      <w:r w:rsidRPr="00A663AE">
        <w:rPr>
          <w:rFonts w:eastAsia="Garamond"/>
          <w:b/>
          <w:sz w:val="24"/>
          <w:szCs w:val="24"/>
        </w:rPr>
        <w:t>Question 2</w:t>
      </w:r>
    </w:p>
    <w:p w14:paraId="5A62DF43" w14:textId="77777777" w:rsidR="00A663AE" w:rsidRPr="00A663AE" w:rsidRDefault="00A663AE" w:rsidP="00A663AE">
      <w:pPr>
        <w:spacing w:line="262" w:lineRule="exact"/>
        <w:jc w:val="both"/>
        <w:rPr>
          <w:sz w:val="24"/>
          <w:szCs w:val="24"/>
        </w:rPr>
      </w:pPr>
    </w:p>
    <w:p w14:paraId="1E1BF7F7" w14:textId="77777777" w:rsidR="00A663AE" w:rsidRPr="00A663AE" w:rsidRDefault="00A663AE" w:rsidP="00A663AE">
      <w:pPr>
        <w:spacing w:line="250" w:lineRule="auto"/>
        <w:ind w:left="140" w:right="380"/>
        <w:jc w:val="both"/>
        <w:rPr>
          <w:rFonts w:eastAsia="Garamond"/>
          <w:sz w:val="24"/>
          <w:szCs w:val="24"/>
        </w:rPr>
      </w:pPr>
      <w:r w:rsidRPr="00A663AE">
        <w:rPr>
          <w:rFonts w:eastAsia="Garamond"/>
          <w:sz w:val="24"/>
          <w:szCs w:val="24"/>
        </w:rPr>
        <w:t>Assuming Paulson &amp; Co charges 20% incentive fee, 0% management fee and the agreed hurdle rate (benchmark rate) is 0%.</w:t>
      </w:r>
    </w:p>
    <w:p w14:paraId="3204846A" w14:textId="77777777" w:rsidR="00A663AE" w:rsidRPr="00A663AE" w:rsidRDefault="00A663AE" w:rsidP="00A663AE">
      <w:pPr>
        <w:spacing w:line="191" w:lineRule="exact"/>
        <w:jc w:val="both"/>
        <w:rPr>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0"/>
        <w:gridCol w:w="1080"/>
        <w:gridCol w:w="2140"/>
        <w:gridCol w:w="3120"/>
        <w:gridCol w:w="2640"/>
      </w:tblGrid>
      <w:tr w:rsidR="00A663AE" w:rsidRPr="00A663AE" w14:paraId="1148A4F5" w14:textId="77777777" w:rsidTr="00FD1246">
        <w:trPr>
          <w:trHeight w:val="211"/>
        </w:trPr>
        <w:tc>
          <w:tcPr>
            <w:tcW w:w="20" w:type="dxa"/>
            <w:shd w:val="clear" w:color="auto" w:fill="auto"/>
            <w:vAlign w:val="bottom"/>
          </w:tcPr>
          <w:p w14:paraId="7258AD7F" w14:textId="77777777" w:rsidR="00A663AE" w:rsidRPr="00A663AE" w:rsidRDefault="00A663AE" w:rsidP="00A663AE">
            <w:pPr>
              <w:spacing w:line="0" w:lineRule="atLeast"/>
              <w:jc w:val="both"/>
              <w:rPr>
                <w:sz w:val="24"/>
                <w:szCs w:val="24"/>
              </w:rPr>
            </w:pPr>
          </w:p>
        </w:tc>
        <w:tc>
          <w:tcPr>
            <w:tcW w:w="1080" w:type="dxa"/>
            <w:tcBorders>
              <w:top w:val="single" w:sz="8" w:space="0" w:color="auto"/>
            </w:tcBorders>
            <w:shd w:val="clear" w:color="auto" w:fill="auto"/>
            <w:vAlign w:val="bottom"/>
          </w:tcPr>
          <w:p w14:paraId="4F04DCEB" w14:textId="77777777" w:rsidR="00A663AE" w:rsidRPr="00A663AE" w:rsidRDefault="00A663AE" w:rsidP="00A663AE">
            <w:pPr>
              <w:spacing w:line="211" w:lineRule="exact"/>
              <w:ind w:left="400"/>
              <w:jc w:val="both"/>
              <w:rPr>
                <w:rFonts w:eastAsia="Garamond"/>
                <w:sz w:val="24"/>
                <w:szCs w:val="24"/>
              </w:rPr>
            </w:pPr>
            <w:r w:rsidRPr="00A663AE">
              <w:rPr>
                <w:rFonts w:eastAsia="Garamond"/>
                <w:sz w:val="24"/>
                <w:szCs w:val="24"/>
              </w:rPr>
              <w:t>Year</w:t>
            </w:r>
          </w:p>
        </w:tc>
        <w:tc>
          <w:tcPr>
            <w:tcW w:w="2140" w:type="dxa"/>
            <w:tcBorders>
              <w:top w:val="single" w:sz="8" w:space="0" w:color="auto"/>
            </w:tcBorders>
            <w:shd w:val="clear" w:color="auto" w:fill="auto"/>
            <w:vAlign w:val="bottom"/>
          </w:tcPr>
          <w:p w14:paraId="089BFFE9" w14:textId="77777777" w:rsidR="00A663AE" w:rsidRPr="00A663AE" w:rsidRDefault="00A663AE" w:rsidP="00A663AE">
            <w:pPr>
              <w:spacing w:line="211" w:lineRule="exact"/>
              <w:ind w:left="320"/>
              <w:jc w:val="both"/>
              <w:rPr>
                <w:rFonts w:eastAsia="Garamond"/>
                <w:sz w:val="24"/>
                <w:szCs w:val="24"/>
              </w:rPr>
            </w:pPr>
            <w:r w:rsidRPr="00A663AE">
              <w:rPr>
                <w:rFonts w:eastAsia="Garamond"/>
                <w:sz w:val="24"/>
                <w:szCs w:val="24"/>
              </w:rPr>
              <w:t>High-Water Mark</w:t>
            </w:r>
          </w:p>
        </w:tc>
        <w:tc>
          <w:tcPr>
            <w:tcW w:w="3120" w:type="dxa"/>
            <w:tcBorders>
              <w:top w:val="single" w:sz="8" w:space="0" w:color="auto"/>
            </w:tcBorders>
            <w:shd w:val="clear" w:color="auto" w:fill="auto"/>
            <w:vAlign w:val="bottom"/>
          </w:tcPr>
          <w:p w14:paraId="63B54DA2" w14:textId="77777777" w:rsidR="00A663AE" w:rsidRPr="00A663AE" w:rsidRDefault="00A663AE" w:rsidP="00A663AE">
            <w:pPr>
              <w:spacing w:line="211" w:lineRule="exact"/>
              <w:ind w:left="440"/>
              <w:jc w:val="both"/>
              <w:rPr>
                <w:rFonts w:eastAsia="Garamond"/>
                <w:sz w:val="24"/>
                <w:szCs w:val="24"/>
              </w:rPr>
            </w:pPr>
            <w:r w:rsidRPr="00A663AE">
              <w:rPr>
                <w:rFonts w:eastAsia="Garamond"/>
                <w:sz w:val="24"/>
                <w:szCs w:val="24"/>
              </w:rPr>
              <w:t>Year End Net Asset Value</w:t>
            </w:r>
          </w:p>
        </w:tc>
        <w:tc>
          <w:tcPr>
            <w:tcW w:w="2640" w:type="dxa"/>
            <w:tcBorders>
              <w:top w:val="single" w:sz="8" w:space="0" w:color="auto"/>
            </w:tcBorders>
            <w:shd w:val="clear" w:color="auto" w:fill="auto"/>
            <w:vAlign w:val="bottom"/>
          </w:tcPr>
          <w:p w14:paraId="3D701E56" w14:textId="77777777" w:rsidR="00A663AE" w:rsidRPr="00A663AE" w:rsidRDefault="00A663AE" w:rsidP="00A663AE">
            <w:pPr>
              <w:spacing w:line="211" w:lineRule="exact"/>
              <w:ind w:left="640"/>
              <w:jc w:val="both"/>
              <w:rPr>
                <w:rFonts w:eastAsia="Garamond"/>
                <w:sz w:val="24"/>
                <w:szCs w:val="24"/>
              </w:rPr>
            </w:pPr>
            <w:r w:rsidRPr="00A663AE">
              <w:rPr>
                <w:rFonts w:eastAsia="Garamond"/>
                <w:sz w:val="24"/>
                <w:szCs w:val="24"/>
              </w:rPr>
              <w:t>Performance Fee</w:t>
            </w:r>
          </w:p>
        </w:tc>
      </w:tr>
      <w:tr w:rsidR="00A663AE" w:rsidRPr="00A663AE" w14:paraId="5B5BC928" w14:textId="77777777" w:rsidTr="00FD1246">
        <w:trPr>
          <w:trHeight w:val="224"/>
        </w:trPr>
        <w:tc>
          <w:tcPr>
            <w:tcW w:w="20" w:type="dxa"/>
            <w:shd w:val="clear" w:color="auto" w:fill="auto"/>
            <w:vAlign w:val="bottom"/>
          </w:tcPr>
          <w:p w14:paraId="2AED0B12" w14:textId="77777777" w:rsidR="00A663AE" w:rsidRPr="00A663AE" w:rsidRDefault="00A663AE" w:rsidP="00A663AE">
            <w:pPr>
              <w:spacing w:line="0" w:lineRule="atLeast"/>
              <w:jc w:val="both"/>
              <w:rPr>
                <w:sz w:val="24"/>
                <w:szCs w:val="24"/>
              </w:rPr>
            </w:pPr>
          </w:p>
        </w:tc>
        <w:tc>
          <w:tcPr>
            <w:tcW w:w="1080" w:type="dxa"/>
            <w:shd w:val="clear" w:color="auto" w:fill="auto"/>
            <w:vAlign w:val="bottom"/>
          </w:tcPr>
          <w:p w14:paraId="62CE70A0" w14:textId="77777777" w:rsidR="00A663AE" w:rsidRPr="00A663AE" w:rsidRDefault="00A663AE" w:rsidP="00A663AE">
            <w:pPr>
              <w:spacing w:line="0" w:lineRule="atLeast"/>
              <w:ind w:left="400"/>
              <w:jc w:val="both"/>
              <w:rPr>
                <w:rFonts w:eastAsia="Garamond"/>
                <w:sz w:val="24"/>
                <w:szCs w:val="24"/>
              </w:rPr>
            </w:pPr>
            <w:r w:rsidRPr="00A663AE">
              <w:rPr>
                <w:rFonts w:eastAsia="Garamond"/>
                <w:sz w:val="24"/>
                <w:szCs w:val="24"/>
              </w:rPr>
              <w:t>2014</w:t>
            </w:r>
          </w:p>
        </w:tc>
        <w:tc>
          <w:tcPr>
            <w:tcW w:w="2140" w:type="dxa"/>
            <w:shd w:val="clear" w:color="auto" w:fill="auto"/>
            <w:vAlign w:val="bottom"/>
          </w:tcPr>
          <w:p w14:paraId="24C3A815" w14:textId="77777777" w:rsidR="00A663AE" w:rsidRPr="00A663AE" w:rsidRDefault="00A663AE" w:rsidP="00A663AE">
            <w:pPr>
              <w:spacing w:line="0" w:lineRule="atLeast"/>
              <w:ind w:left="320"/>
              <w:jc w:val="both"/>
              <w:rPr>
                <w:rFonts w:eastAsia="Garamond"/>
                <w:sz w:val="24"/>
                <w:szCs w:val="24"/>
              </w:rPr>
            </w:pPr>
            <w:r w:rsidRPr="00A663AE">
              <w:rPr>
                <w:rFonts w:eastAsia="Garamond"/>
                <w:sz w:val="24"/>
                <w:szCs w:val="24"/>
              </w:rPr>
              <w:t>100 million</w:t>
            </w:r>
          </w:p>
        </w:tc>
        <w:tc>
          <w:tcPr>
            <w:tcW w:w="3120" w:type="dxa"/>
            <w:shd w:val="clear" w:color="auto" w:fill="auto"/>
            <w:vAlign w:val="bottom"/>
          </w:tcPr>
          <w:p w14:paraId="0113EE12" w14:textId="77777777" w:rsidR="00A663AE" w:rsidRPr="00A663AE" w:rsidRDefault="00A663AE" w:rsidP="00A663AE">
            <w:pPr>
              <w:spacing w:line="0" w:lineRule="atLeast"/>
              <w:ind w:left="440"/>
              <w:jc w:val="both"/>
              <w:rPr>
                <w:rFonts w:eastAsia="Garamond"/>
                <w:sz w:val="24"/>
                <w:szCs w:val="24"/>
              </w:rPr>
            </w:pPr>
            <w:r w:rsidRPr="00A663AE">
              <w:rPr>
                <w:rFonts w:eastAsia="Garamond"/>
                <w:sz w:val="24"/>
                <w:szCs w:val="24"/>
              </w:rPr>
              <w:t>150 million</w:t>
            </w:r>
          </w:p>
        </w:tc>
        <w:tc>
          <w:tcPr>
            <w:tcW w:w="2640" w:type="dxa"/>
            <w:shd w:val="clear" w:color="auto" w:fill="auto"/>
            <w:vAlign w:val="bottom"/>
          </w:tcPr>
          <w:p w14:paraId="74A0E41B" w14:textId="77777777" w:rsidR="00A663AE" w:rsidRPr="00A663AE" w:rsidRDefault="00A663AE" w:rsidP="00A663AE">
            <w:pPr>
              <w:spacing w:line="0" w:lineRule="atLeast"/>
              <w:ind w:left="640"/>
              <w:jc w:val="both"/>
              <w:rPr>
                <w:rFonts w:eastAsia="Garamond"/>
                <w:sz w:val="24"/>
                <w:szCs w:val="24"/>
              </w:rPr>
            </w:pPr>
            <w:r w:rsidRPr="00A663AE">
              <w:rPr>
                <w:rFonts w:eastAsia="Garamond"/>
                <w:sz w:val="24"/>
                <w:szCs w:val="24"/>
              </w:rPr>
              <w:t>10 million</w:t>
            </w:r>
          </w:p>
        </w:tc>
      </w:tr>
      <w:tr w:rsidR="00A663AE" w:rsidRPr="00A663AE" w14:paraId="73C1496C" w14:textId="77777777" w:rsidTr="00FD1246">
        <w:trPr>
          <w:trHeight w:val="226"/>
        </w:trPr>
        <w:tc>
          <w:tcPr>
            <w:tcW w:w="20" w:type="dxa"/>
            <w:shd w:val="clear" w:color="auto" w:fill="auto"/>
            <w:vAlign w:val="bottom"/>
          </w:tcPr>
          <w:p w14:paraId="6B40F7BE" w14:textId="77777777" w:rsidR="00A663AE" w:rsidRPr="00A663AE" w:rsidRDefault="00A663AE" w:rsidP="00A663AE">
            <w:pPr>
              <w:spacing w:line="0" w:lineRule="atLeast"/>
              <w:jc w:val="both"/>
              <w:rPr>
                <w:sz w:val="24"/>
                <w:szCs w:val="24"/>
              </w:rPr>
            </w:pPr>
          </w:p>
        </w:tc>
        <w:tc>
          <w:tcPr>
            <w:tcW w:w="1080" w:type="dxa"/>
            <w:shd w:val="clear" w:color="auto" w:fill="auto"/>
            <w:vAlign w:val="bottom"/>
          </w:tcPr>
          <w:p w14:paraId="366D29A9" w14:textId="77777777" w:rsidR="00A663AE" w:rsidRPr="00A663AE" w:rsidRDefault="00A663AE" w:rsidP="00A663AE">
            <w:pPr>
              <w:spacing w:line="0" w:lineRule="atLeast"/>
              <w:ind w:left="400"/>
              <w:jc w:val="both"/>
              <w:rPr>
                <w:rFonts w:eastAsia="Garamond"/>
                <w:sz w:val="24"/>
                <w:szCs w:val="24"/>
              </w:rPr>
            </w:pPr>
            <w:r w:rsidRPr="00A663AE">
              <w:rPr>
                <w:rFonts w:eastAsia="Garamond"/>
                <w:sz w:val="24"/>
                <w:szCs w:val="24"/>
              </w:rPr>
              <w:t>2015</w:t>
            </w:r>
          </w:p>
        </w:tc>
        <w:tc>
          <w:tcPr>
            <w:tcW w:w="2140" w:type="dxa"/>
            <w:shd w:val="clear" w:color="auto" w:fill="auto"/>
            <w:vAlign w:val="bottom"/>
          </w:tcPr>
          <w:p w14:paraId="14E41921" w14:textId="77777777" w:rsidR="00A663AE" w:rsidRPr="00A663AE" w:rsidRDefault="00A663AE" w:rsidP="00A663AE">
            <w:pPr>
              <w:spacing w:line="0" w:lineRule="atLeast"/>
              <w:ind w:left="320"/>
              <w:jc w:val="both"/>
              <w:rPr>
                <w:rFonts w:eastAsia="Garamond"/>
                <w:sz w:val="24"/>
                <w:szCs w:val="24"/>
              </w:rPr>
            </w:pPr>
            <w:r w:rsidRPr="00A663AE">
              <w:rPr>
                <w:rFonts w:eastAsia="Garamond"/>
                <w:sz w:val="24"/>
                <w:szCs w:val="24"/>
              </w:rPr>
              <w:t>?</w:t>
            </w:r>
          </w:p>
        </w:tc>
        <w:tc>
          <w:tcPr>
            <w:tcW w:w="3120" w:type="dxa"/>
            <w:shd w:val="clear" w:color="auto" w:fill="auto"/>
            <w:vAlign w:val="bottom"/>
          </w:tcPr>
          <w:p w14:paraId="0DA4CD93" w14:textId="77777777" w:rsidR="00A663AE" w:rsidRPr="00A663AE" w:rsidRDefault="00A663AE" w:rsidP="00A663AE">
            <w:pPr>
              <w:spacing w:line="0" w:lineRule="atLeast"/>
              <w:ind w:left="440"/>
              <w:jc w:val="both"/>
              <w:rPr>
                <w:rFonts w:eastAsia="Garamond"/>
                <w:sz w:val="24"/>
                <w:szCs w:val="24"/>
              </w:rPr>
            </w:pPr>
            <w:r w:rsidRPr="00A663AE">
              <w:rPr>
                <w:rFonts w:eastAsia="Garamond"/>
                <w:sz w:val="24"/>
                <w:szCs w:val="24"/>
              </w:rPr>
              <w:t>120 million</w:t>
            </w:r>
          </w:p>
        </w:tc>
        <w:tc>
          <w:tcPr>
            <w:tcW w:w="2640" w:type="dxa"/>
            <w:shd w:val="clear" w:color="auto" w:fill="auto"/>
            <w:vAlign w:val="bottom"/>
          </w:tcPr>
          <w:p w14:paraId="066F37EE" w14:textId="77777777" w:rsidR="00A663AE" w:rsidRPr="00A663AE" w:rsidRDefault="00A663AE" w:rsidP="00A663AE">
            <w:pPr>
              <w:spacing w:line="0" w:lineRule="atLeast"/>
              <w:ind w:left="640"/>
              <w:jc w:val="both"/>
              <w:rPr>
                <w:rFonts w:eastAsia="Garamond"/>
                <w:sz w:val="24"/>
                <w:szCs w:val="24"/>
              </w:rPr>
            </w:pPr>
            <w:r w:rsidRPr="00A663AE">
              <w:rPr>
                <w:rFonts w:eastAsia="Garamond"/>
                <w:sz w:val="24"/>
                <w:szCs w:val="24"/>
              </w:rPr>
              <w:t>?</w:t>
            </w:r>
          </w:p>
        </w:tc>
      </w:tr>
      <w:tr w:rsidR="00A663AE" w:rsidRPr="00A663AE" w14:paraId="07812F15" w14:textId="77777777" w:rsidTr="00FD1246">
        <w:trPr>
          <w:trHeight w:val="250"/>
        </w:trPr>
        <w:tc>
          <w:tcPr>
            <w:tcW w:w="20" w:type="dxa"/>
            <w:tcBorders>
              <w:bottom w:val="single" w:sz="8" w:space="0" w:color="auto"/>
            </w:tcBorders>
            <w:shd w:val="clear" w:color="auto" w:fill="auto"/>
            <w:vAlign w:val="bottom"/>
          </w:tcPr>
          <w:p w14:paraId="592ABBA1" w14:textId="77777777" w:rsidR="00A663AE" w:rsidRPr="00A663AE" w:rsidRDefault="00A663AE" w:rsidP="00A663AE">
            <w:pPr>
              <w:spacing w:line="0" w:lineRule="atLeast"/>
              <w:jc w:val="both"/>
              <w:rPr>
                <w:sz w:val="24"/>
                <w:szCs w:val="24"/>
              </w:rPr>
            </w:pPr>
          </w:p>
        </w:tc>
        <w:tc>
          <w:tcPr>
            <w:tcW w:w="1080" w:type="dxa"/>
            <w:tcBorders>
              <w:bottom w:val="single" w:sz="8" w:space="0" w:color="auto"/>
            </w:tcBorders>
            <w:shd w:val="clear" w:color="auto" w:fill="auto"/>
            <w:vAlign w:val="bottom"/>
          </w:tcPr>
          <w:p w14:paraId="576CF205" w14:textId="77777777" w:rsidR="00A663AE" w:rsidRPr="00A663AE" w:rsidRDefault="00A663AE" w:rsidP="00A663AE">
            <w:pPr>
              <w:spacing w:line="0" w:lineRule="atLeast"/>
              <w:ind w:left="400"/>
              <w:jc w:val="both"/>
              <w:rPr>
                <w:rFonts w:eastAsia="Garamond"/>
                <w:sz w:val="24"/>
                <w:szCs w:val="24"/>
              </w:rPr>
            </w:pPr>
            <w:r w:rsidRPr="00A663AE">
              <w:rPr>
                <w:rFonts w:eastAsia="Garamond"/>
                <w:sz w:val="24"/>
                <w:szCs w:val="24"/>
              </w:rPr>
              <w:t>2016</w:t>
            </w:r>
          </w:p>
        </w:tc>
        <w:tc>
          <w:tcPr>
            <w:tcW w:w="2140" w:type="dxa"/>
            <w:tcBorders>
              <w:bottom w:val="single" w:sz="8" w:space="0" w:color="auto"/>
            </w:tcBorders>
            <w:shd w:val="clear" w:color="auto" w:fill="auto"/>
            <w:vAlign w:val="bottom"/>
          </w:tcPr>
          <w:p w14:paraId="098D7E30" w14:textId="77777777" w:rsidR="00A663AE" w:rsidRPr="00A663AE" w:rsidRDefault="00A663AE" w:rsidP="00A663AE">
            <w:pPr>
              <w:spacing w:line="0" w:lineRule="atLeast"/>
              <w:ind w:left="320"/>
              <w:jc w:val="both"/>
              <w:rPr>
                <w:rFonts w:eastAsia="Garamond"/>
                <w:sz w:val="24"/>
                <w:szCs w:val="24"/>
              </w:rPr>
            </w:pPr>
            <w:r w:rsidRPr="00A663AE">
              <w:rPr>
                <w:rFonts w:eastAsia="Garamond"/>
                <w:sz w:val="24"/>
                <w:szCs w:val="24"/>
              </w:rPr>
              <w:t>?</w:t>
            </w:r>
          </w:p>
        </w:tc>
        <w:tc>
          <w:tcPr>
            <w:tcW w:w="3120" w:type="dxa"/>
            <w:tcBorders>
              <w:bottom w:val="single" w:sz="8" w:space="0" w:color="auto"/>
            </w:tcBorders>
            <w:shd w:val="clear" w:color="auto" w:fill="auto"/>
            <w:vAlign w:val="bottom"/>
          </w:tcPr>
          <w:p w14:paraId="142EBF26" w14:textId="77777777" w:rsidR="00A663AE" w:rsidRPr="00A663AE" w:rsidRDefault="00A663AE" w:rsidP="00A663AE">
            <w:pPr>
              <w:spacing w:line="0" w:lineRule="atLeast"/>
              <w:ind w:left="440"/>
              <w:jc w:val="both"/>
              <w:rPr>
                <w:rFonts w:eastAsia="Garamond"/>
                <w:sz w:val="24"/>
                <w:szCs w:val="24"/>
              </w:rPr>
            </w:pPr>
            <w:r w:rsidRPr="00A663AE">
              <w:rPr>
                <w:rFonts w:eastAsia="Garamond"/>
                <w:sz w:val="24"/>
                <w:szCs w:val="24"/>
              </w:rPr>
              <w:t>160 million</w:t>
            </w:r>
          </w:p>
        </w:tc>
        <w:tc>
          <w:tcPr>
            <w:tcW w:w="2640" w:type="dxa"/>
            <w:tcBorders>
              <w:bottom w:val="single" w:sz="8" w:space="0" w:color="auto"/>
            </w:tcBorders>
            <w:shd w:val="clear" w:color="auto" w:fill="auto"/>
            <w:vAlign w:val="bottom"/>
          </w:tcPr>
          <w:p w14:paraId="6067C1C3" w14:textId="77777777" w:rsidR="00A663AE" w:rsidRPr="00A663AE" w:rsidRDefault="00A663AE" w:rsidP="00A663AE">
            <w:pPr>
              <w:spacing w:line="0" w:lineRule="atLeast"/>
              <w:ind w:left="640"/>
              <w:jc w:val="both"/>
              <w:rPr>
                <w:rFonts w:eastAsia="Garamond"/>
                <w:sz w:val="24"/>
                <w:szCs w:val="24"/>
              </w:rPr>
            </w:pPr>
            <w:r w:rsidRPr="00A663AE">
              <w:rPr>
                <w:rFonts w:eastAsia="Garamond"/>
                <w:sz w:val="24"/>
                <w:szCs w:val="24"/>
              </w:rPr>
              <w:t>?</w:t>
            </w:r>
          </w:p>
        </w:tc>
      </w:tr>
    </w:tbl>
    <w:p w14:paraId="01F7F8EC" w14:textId="77777777" w:rsidR="00A663AE" w:rsidRPr="00A663AE" w:rsidRDefault="00A663AE" w:rsidP="00A663AE">
      <w:pPr>
        <w:spacing w:line="200" w:lineRule="exact"/>
        <w:jc w:val="both"/>
        <w:rPr>
          <w:sz w:val="24"/>
          <w:szCs w:val="24"/>
        </w:rPr>
      </w:pPr>
    </w:p>
    <w:p w14:paraId="2115235E" w14:textId="77777777" w:rsidR="00A663AE" w:rsidRDefault="00A663AE" w:rsidP="00AE120C">
      <w:pPr>
        <w:spacing w:line="0" w:lineRule="atLeast"/>
        <w:ind w:left="420"/>
        <w:jc w:val="both"/>
        <w:rPr>
          <w:rFonts w:eastAsia="Garamond"/>
          <w:sz w:val="24"/>
          <w:szCs w:val="24"/>
        </w:rPr>
      </w:pPr>
      <w:r w:rsidRPr="00A663AE">
        <w:rPr>
          <w:rFonts w:eastAsia="Garamond"/>
          <w:sz w:val="24"/>
          <w:szCs w:val="24"/>
        </w:rPr>
        <w:t>Given the above information, compute high-water mark and performance fee in 2015 and 2016.</w:t>
      </w:r>
    </w:p>
    <w:p w14:paraId="42FA9861" w14:textId="77777777" w:rsidR="00AE120C" w:rsidRPr="00AE120C" w:rsidRDefault="00AE120C" w:rsidP="00AE120C">
      <w:pPr>
        <w:spacing w:line="270" w:lineRule="exact"/>
        <w:jc w:val="both"/>
        <w:rPr>
          <w:b/>
          <w:sz w:val="24"/>
          <w:szCs w:val="24"/>
        </w:rPr>
      </w:pPr>
      <w:r w:rsidRPr="00AE120C">
        <w:rPr>
          <w:b/>
          <w:sz w:val="24"/>
          <w:szCs w:val="24"/>
        </w:rPr>
        <w:t>Answer:</w:t>
      </w:r>
    </w:p>
    <w:p w14:paraId="22B499CE" w14:textId="77777777" w:rsidR="00A663AE" w:rsidRPr="00A663AE" w:rsidRDefault="00A663AE" w:rsidP="00A663AE">
      <w:pPr>
        <w:spacing w:line="255" w:lineRule="exact"/>
        <w:jc w:val="both"/>
        <w:rPr>
          <w:sz w:val="24"/>
          <w:szCs w:val="24"/>
        </w:rPr>
      </w:pPr>
    </w:p>
    <w:tbl>
      <w:tblPr>
        <w:tblW w:w="9350" w:type="dxa"/>
        <w:jc w:val="center"/>
        <w:tblLayout w:type="fixed"/>
        <w:tblCellMar>
          <w:left w:w="0" w:type="dxa"/>
          <w:right w:w="0" w:type="dxa"/>
        </w:tblCellMar>
        <w:tblLook w:val="0000" w:firstRow="0" w:lastRow="0" w:firstColumn="0" w:lastColumn="0" w:noHBand="0" w:noVBand="0"/>
      </w:tblPr>
      <w:tblGrid>
        <w:gridCol w:w="20"/>
        <w:gridCol w:w="1122"/>
        <w:gridCol w:w="2223"/>
        <w:gridCol w:w="3242"/>
        <w:gridCol w:w="2743"/>
      </w:tblGrid>
      <w:tr w:rsidR="00A663AE" w:rsidRPr="00A663AE" w14:paraId="2279AAA6" w14:textId="77777777" w:rsidTr="00AE120C">
        <w:trPr>
          <w:trHeight w:val="174"/>
          <w:jc w:val="center"/>
        </w:trPr>
        <w:tc>
          <w:tcPr>
            <w:tcW w:w="20" w:type="dxa"/>
            <w:shd w:val="clear" w:color="auto" w:fill="auto"/>
            <w:vAlign w:val="bottom"/>
          </w:tcPr>
          <w:p w14:paraId="057D4224" w14:textId="77777777" w:rsidR="00A663AE" w:rsidRPr="00A663AE" w:rsidRDefault="00A663AE" w:rsidP="00A663AE">
            <w:pPr>
              <w:spacing w:line="0" w:lineRule="atLeast"/>
              <w:jc w:val="both"/>
              <w:rPr>
                <w:sz w:val="24"/>
                <w:szCs w:val="24"/>
              </w:rPr>
            </w:pPr>
          </w:p>
        </w:tc>
        <w:tc>
          <w:tcPr>
            <w:tcW w:w="1122" w:type="dxa"/>
            <w:tcBorders>
              <w:top w:val="single" w:sz="8" w:space="0" w:color="auto"/>
            </w:tcBorders>
            <w:shd w:val="clear" w:color="auto" w:fill="auto"/>
            <w:vAlign w:val="bottom"/>
          </w:tcPr>
          <w:p w14:paraId="315F0B70" w14:textId="77777777" w:rsidR="00A663AE" w:rsidRPr="00A663AE" w:rsidRDefault="00A663AE" w:rsidP="00A663AE">
            <w:pPr>
              <w:spacing w:line="210" w:lineRule="exact"/>
              <w:ind w:left="400"/>
              <w:jc w:val="both"/>
              <w:rPr>
                <w:rFonts w:eastAsia="Garamond"/>
                <w:sz w:val="24"/>
                <w:szCs w:val="24"/>
              </w:rPr>
            </w:pPr>
            <w:r w:rsidRPr="00A663AE">
              <w:rPr>
                <w:rFonts w:eastAsia="Garamond"/>
                <w:sz w:val="24"/>
                <w:szCs w:val="24"/>
              </w:rPr>
              <w:t>Year</w:t>
            </w:r>
          </w:p>
        </w:tc>
        <w:tc>
          <w:tcPr>
            <w:tcW w:w="2223" w:type="dxa"/>
            <w:tcBorders>
              <w:top w:val="single" w:sz="8" w:space="0" w:color="auto"/>
            </w:tcBorders>
            <w:shd w:val="clear" w:color="auto" w:fill="auto"/>
            <w:vAlign w:val="bottom"/>
          </w:tcPr>
          <w:p w14:paraId="26468F8C" w14:textId="77777777" w:rsidR="00A663AE" w:rsidRPr="00A663AE" w:rsidRDefault="00A663AE" w:rsidP="00A663AE">
            <w:pPr>
              <w:spacing w:line="210" w:lineRule="exact"/>
              <w:ind w:left="320"/>
              <w:jc w:val="both"/>
              <w:rPr>
                <w:rFonts w:eastAsia="Garamond"/>
                <w:sz w:val="24"/>
                <w:szCs w:val="24"/>
              </w:rPr>
            </w:pPr>
            <w:r w:rsidRPr="00A663AE">
              <w:rPr>
                <w:rFonts w:eastAsia="Garamond"/>
                <w:sz w:val="24"/>
                <w:szCs w:val="24"/>
              </w:rPr>
              <w:t>High-Water Mark</w:t>
            </w:r>
          </w:p>
        </w:tc>
        <w:tc>
          <w:tcPr>
            <w:tcW w:w="3242" w:type="dxa"/>
            <w:tcBorders>
              <w:top w:val="single" w:sz="8" w:space="0" w:color="auto"/>
            </w:tcBorders>
            <w:shd w:val="clear" w:color="auto" w:fill="auto"/>
            <w:vAlign w:val="bottom"/>
          </w:tcPr>
          <w:p w14:paraId="7BFDA8C0" w14:textId="77777777" w:rsidR="00A663AE" w:rsidRPr="00A663AE" w:rsidRDefault="00A663AE" w:rsidP="00A663AE">
            <w:pPr>
              <w:spacing w:line="210" w:lineRule="exact"/>
              <w:ind w:left="440"/>
              <w:jc w:val="both"/>
              <w:rPr>
                <w:rFonts w:eastAsia="Garamond"/>
                <w:sz w:val="24"/>
                <w:szCs w:val="24"/>
              </w:rPr>
            </w:pPr>
            <w:r w:rsidRPr="00A663AE">
              <w:rPr>
                <w:rFonts w:eastAsia="Garamond"/>
                <w:sz w:val="24"/>
                <w:szCs w:val="24"/>
              </w:rPr>
              <w:t>Year End Net Asset Value</w:t>
            </w:r>
          </w:p>
        </w:tc>
        <w:tc>
          <w:tcPr>
            <w:tcW w:w="2743" w:type="dxa"/>
            <w:tcBorders>
              <w:top w:val="single" w:sz="8" w:space="0" w:color="auto"/>
            </w:tcBorders>
            <w:shd w:val="clear" w:color="auto" w:fill="auto"/>
            <w:vAlign w:val="bottom"/>
          </w:tcPr>
          <w:p w14:paraId="4D3FC51C" w14:textId="77777777" w:rsidR="00A663AE" w:rsidRPr="00A663AE" w:rsidRDefault="00A663AE" w:rsidP="00A663AE">
            <w:pPr>
              <w:spacing w:line="210" w:lineRule="exact"/>
              <w:ind w:left="640"/>
              <w:jc w:val="both"/>
              <w:rPr>
                <w:rFonts w:eastAsia="Garamond"/>
                <w:sz w:val="24"/>
                <w:szCs w:val="24"/>
              </w:rPr>
            </w:pPr>
            <w:r w:rsidRPr="00A663AE">
              <w:rPr>
                <w:rFonts w:eastAsia="Garamond"/>
                <w:sz w:val="24"/>
                <w:szCs w:val="24"/>
              </w:rPr>
              <w:t>Performance Fee</w:t>
            </w:r>
          </w:p>
        </w:tc>
      </w:tr>
      <w:tr w:rsidR="00A663AE" w:rsidRPr="00A663AE" w14:paraId="50984985" w14:textId="77777777" w:rsidTr="00AE120C">
        <w:trPr>
          <w:trHeight w:val="188"/>
          <w:jc w:val="center"/>
        </w:trPr>
        <w:tc>
          <w:tcPr>
            <w:tcW w:w="20" w:type="dxa"/>
            <w:shd w:val="clear" w:color="auto" w:fill="auto"/>
            <w:vAlign w:val="bottom"/>
          </w:tcPr>
          <w:p w14:paraId="3094763A" w14:textId="77777777" w:rsidR="00A663AE" w:rsidRPr="00A663AE" w:rsidRDefault="00A663AE" w:rsidP="00A663AE">
            <w:pPr>
              <w:spacing w:line="0" w:lineRule="atLeast"/>
              <w:jc w:val="both"/>
              <w:rPr>
                <w:sz w:val="24"/>
                <w:szCs w:val="24"/>
              </w:rPr>
            </w:pPr>
          </w:p>
        </w:tc>
        <w:tc>
          <w:tcPr>
            <w:tcW w:w="1122" w:type="dxa"/>
            <w:shd w:val="clear" w:color="auto" w:fill="auto"/>
            <w:vAlign w:val="bottom"/>
          </w:tcPr>
          <w:p w14:paraId="4A885354" w14:textId="77777777" w:rsidR="00A663AE" w:rsidRPr="00A663AE" w:rsidRDefault="00A663AE" w:rsidP="00A663AE">
            <w:pPr>
              <w:spacing w:line="0" w:lineRule="atLeast"/>
              <w:ind w:left="400"/>
              <w:jc w:val="both"/>
              <w:rPr>
                <w:rFonts w:eastAsia="Garamond"/>
                <w:sz w:val="24"/>
                <w:szCs w:val="24"/>
              </w:rPr>
            </w:pPr>
            <w:r w:rsidRPr="00A663AE">
              <w:rPr>
                <w:rFonts w:eastAsia="Garamond"/>
                <w:sz w:val="24"/>
                <w:szCs w:val="24"/>
              </w:rPr>
              <w:t>2014</w:t>
            </w:r>
          </w:p>
        </w:tc>
        <w:tc>
          <w:tcPr>
            <w:tcW w:w="2223" w:type="dxa"/>
            <w:shd w:val="clear" w:color="auto" w:fill="auto"/>
            <w:vAlign w:val="bottom"/>
          </w:tcPr>
          <w:p w14:paraId="6AF1A98F" w14:textId="77777777" w:rsidR="00A663AE" w:rsidRPr="00A663AE" w:rsidRDefault="00A663AE" w:rsidP="00A663AE">
            <w:pPr>
              <w:spacing w:line="0" w:lineRule="atLeast"/>
              <w:ind w:left="320"/>
              <w:jc w:val="both"/>
              <w:rPr>
                <w:rFonts w:eastAsia="Garamond"/>
                <w:sz w:val="24"/>
                <w:szCs w:val="24"/>
              </w:rPr>
            </w:pPr>
            <w:r w:rsidRPr="00A663AE">
              <w:rPr>
                <w:rFonts w:eastAsia="Garamond"/>
                <w:sz w:val="24"/>
                <w:szCs w:val="24"/>
              </w:rPr>
              <w:t>100 million</w:t>
            </w:r>
          </w:p>
        </w:tc>
        <w:tc>
          <w:tcPr>
            <w:tcW w:w="3242" w:type="dxa"/>
            <w:shd w:val="clear" w:color="auto" w:fill="auto"/>
            <w:vAlign w:val="bottom"/>
          </w:tcPr>
          <w:p w14:paraId="5402D04E" w14:textId="77777777" w:rsidR="00A663AE" w:rsidRPr="00A663AE" w:rsidRDefault="00A663AE" w:rsidP="00A663AE">
            <w:pPr>
              <w:spacing w:line="0" w:lineRule="atLeast"/>
              <w:ind w:left="440"/>
              <w:jc w:val="both"/>
              <w:rPr>
                <w:rFonts w:eastAsia="Garamond"/>
                <w:sz w:val="24"/>
                <w:szCs w:val="24"/>
              </w:rPr>
            </w:pPr>
            <w:r w:rsidRPr="00A663AE">
              <w:rPr>
                <w:rFonts w:eastAsia="Garamond"/>
                <w:sz w:val="24"/>
                <w:szCs w:val="24"/>
              </w:rPr>
              <w:t>150 million</w:t>
            </w:r>
          </w:p>
        </w:tc>
        <w:tc>
          <w:tcPr>
            <w:tcW w:w="2743" w:type="dxa"/>
            <w:shd w:val="clear" w:color="auto" w:fill="auto"/>
            <w:vAlign w:val="bottom"/>
          </w:tcPr>
          <w:p w14:paraId="0AFE15D5" w14:textId="77777777" w:rsidR="00A663AE" w:rsidRPr="00A663AE" w:rsidRDefault="00A663AE" w:rsidP="00A663AE">
            <w:pPr>
              <w:spacing w:line="0" w:lineRule="atLeast"/>
              <w:ind w:left="640"/>
              <w:jc w:val="both"/>
              <w:rPr>
                <w:rFonts w:eastAsia="Garamond"/>
                <w:sz w:val="24"/>
                <w:szCs w:val="24"/>
              </w:rPr>
            </w:pPr>
            <w:r w:rsidRPr="00A663AE">
              <w:rPr>
                <w:rFonts w:eastAsia="Garamond"/>
                <w:sz w:val="24"/>
                <w:szCs w:val="24"/>
              </w:rPr>
              <w:t>10 million</w:t>
            </w:r>
          </w:p>
        </w:tc>
      </w:tr>
      <w:tr w:rsidR="00A663AE" w:rsidRPr="00A663AE" w14:paraId="7D1F7553" w14:textId="77777777" w:rsidTr="00AE120C">
        <w:trPr>
          <w:trHeight w:val="186"/>
          <w:jc w:val="center"/>
        </w:trPr>
        <w:tc>
          <w:tcPr>
            <w:tcW w:w="20" w:type="dxa"/>
            <w:shd w:val="clear" w:color="auto" w:fill="auto"/>
            <w:vAlign w:val="bottom"/>
          </w:tcPr>
          <w:p w14:paraId="7D49558B" w14:textId="77777777" w:rsidR="00A663AE" w:rsidRPr="00A663AE" w:rsidRDefault="00A663AE" w:rsidP="00A663AE">
            <w:pPr>
              <w:spacing w:line="0" w:lineRule="atLeast"/>
              <w:jc w:val="both"/>
              <w:rPr>
                <w:sz w:val="24"/>
                <w:szCs w:val="24"/>
              </w:rPr>
            </w:pPr>
          </w:p>
        </w:tc>
        <w:tc>
          <w:tcPr>
            <w:tcW w:w="1122" w:type="dxa"/>
            <w:shd w:val="clear" w:color="auto" w:fill="auto"/>
            <w:vAlign w:val="bottom"/>
          </w:tcPr>
          <w:p w14:paraId="0163BAB9" w14:textId="77777777" w:rsidR="00A663AE" w:rsidRPr="00A663AE" w:rsidRDefault="00A663AE" w:rsidP="00A663AE">
            <w:pPr>
              <w:spacing w:line="224" w:lineRule="exact"/>
              <w:ind w:left="400"/>
              <w:jc w:val="both"/>
              <w:rPr>
                <w:rFonts w:eastAsia="Garamond"/>
                <w:sz w:val="24"/>
                <w:szCs w:val="24"/>
              </w:rPr>
            </w:pPr>
            <w:r w:rsidRPr="00A663AE">
              <w:rPr>
                <w:rFonts w:eastAsia="Garamond"/>
                <w:sz w:val="24"/>
                <w:szCs w:val="24"/>
              </w:rPr>
              <w:t>2015</w:t>
            </w:r>
          </w:p>
        </w:tc>
        <w:tc>
          <w:tcPr>
            <w:tcW w:w="2223" w:type="dxa"/>
            <w:shd w:val="clear" w:color="auto" w:fill="auto"/>
            <w:vAlign w:val="bottom"/>
          </w:tcPr>
          <w:p w14:paraId="69FEFD2F" w14:textId="77777777" w:rsidR="00A663AE" w:rsidRPr="00A663AE" w:rsidRDefault="00A663AE" w:rsidP="00A663AE">
            <w:pPr>
              <w:spacing w:line="224" w:lineRule="exact"/>
              <w:ind w:left="320"/>
              <w:jc w:val="both"/>
              <w:rPr>
                <w:rFonts w:eastAsia="Garamond"/>
                <w:sz w:val="24"/>
                <w:szCs w:val="24"/>
              </w:rPr>
            </w:pPr>
            <w:r w:rsidRPr="00A663AE">
              <w:rPr>
                <w:rFonts w:eastAsia="Garamond"/>
                <w:sz w:val="24"/>
                <w:szCs w:val="24"/>
              </w:rPr>
              <w:t>150 million</w:t>
            </w:r>
          </w:p>
        </w:tc>
        <w:tc>
          <w:tcPr>
            <w:tcW w:w="3242" w:type="dxa"/>
            <w:shd w:val="clear" w:color="auto" w:fill="auto"/>
            <w:vAlign w:val="bottom"/>
          </w:tcPr>
          <w:p w14:paraId="7643D3D5" w14:textId="77777777" w:rsidR="00A663AE" w:rsidRPr="00A663AE" w:rsidRDefault="00A663AE" w:rsidP="00A663AE">
            <w:pPr>
              <w:spacing w:line="224" w:lineRule="exact"/>
              <w:ind w:left="440"/>
              <w:jc w:val="both"/>
              <w:rPr>
                <w:rFonts w:eastAsia="Garamond"/>
                <w:sz w:val="24"/>
                <w:szCs w:val="24"/>
              </w:rPr>
            </w:pPr>
            <w:r w:rsidRPr="00A663AE">
              <w:rPr>
                <w:rFonts w:eastAsia="Garamond"/>
                <w:sz w:val="24"/>
                <w:szCs w:val="24"/>
              </w:rPr>
              <w:t>120 million</w:t>
            </w:r>
          </w:p>
        </w:tc>
        <w:tc>
          <w:tcPr>
            <w:tcW w:w="2743" w:type="dxa"/>
            <w:shd w:val="clear" w:color="auto" w:fill="auto"/>
            <w:vAlign w:val="bottom"/>
          </w:tcPr>
          <w:p w14:paraId="23227CEE" w14:textId="77777777" w:rsidR="00A663AE" w:rsidRPr="00A663AE" w:rsidRDefault="00A663AE" w:rsidP="00A663AE">
            <w:pPr>
              <w:spacing w:line="224" w:lineRule="exact"/>
              <w:ind w:left="600"/>
              <w:jc w:val="both"/>
              <w:rPr>
                <w:rFonts w:eastAsia="Garamond"/>
                <w:sz w:val="24"/>
                <w:szCs w:val="24"/>
              </w:rPr>
            </w:pPr>
            <w:r w:rsidRPr="00A663AE">
              <w:rPr>
                <w:rFonts w:eastAsia="Garamond"/>
                <w:sz w:val="24"/>
                <w:szCs w:val="24"/>
              </w:rPr>
              <w:t>20% of 0=0 million</w:t>
            </w:r>
          </w:p>
        </w:tc>
      </w:tr>
      <w:tr w:rsidR="00A663AE" w:rsidRPr="00A663AE" w14:paraId="31C7FAD5" w14:textId="77777777" w:rsidTr="00AE120C">
        <w:trPr>
          <w:trHeight w:val="208"/>
          <w:jc w:val="center"/>
        </w:trPr>
        <w:tc>
          <w:tcPr>
            <w:tcW w:w="20" w:type="dxa"/>
            <w:tcBorders>
              <w:bottom w:val="single" w:sz="8" w:space="0" w:color="auto"/>
            </w:tcBorders>
            <w:shd w:val="clear" w:color="auto" w:fill="auto"/>
            <w:vAlign w:val="bottom"/>
          </w:tcPr>
          <w:p w14:paraId="3AE4DA34" w14:textId="77777777" w:rsidR="00A663AE" w:rsidRPr="00A663AE" w:rsidRDefault="00A663AE" w:rsidP="00A663AE">
            <w:pPr>
              <w:spacing w:line="0" w:lineRule="atLeast"/>
              <w:jc w:val="both"/>
              <w:rPr>
                <w:sz w:val="24"/>
                <w:szCs w:val="24"/>
              </w:rPr>
            </w:pPr>
          </w:p>
        </w:tc>
        <w:tc>
          <w:tcPr>
            <w:tcW w:w="1122" w:type="dxa"/>
            <w:tcBorders>
              <w:bottom w:val="single" w:sz="8" w:space="0" w:color="auto"/>
            </w:tcBorders>
            <w:shd w:val="clear" w:color="auto" w:fill="auto"/>
            <w:vAlign w:val="bottom"/>
          </w:tcPr>
          <w:p w14:paraId="7893C9D7" w14:textId="77777777" w:rsidR="00A663AE" w:rsidRPr="00A663AE" w:rsidRDefault="00A663AE" w:rsidP="00A663AE">
            <w:pPr>
              <w:spacing w:line="0" w:lineRule="atLeast"/>
              <w:ind w:left="400"/>
              <w:jc w:val="both"/>
              <w:rPr>
                <w:rFonts w:eastAsia="Garamond"/>
                <w:sz w:val="24"/>
                <w:szCs w:val="24"/>
              </w:rPr>
            </w:pPr>
            <w:r w:rsidRPr="00A663AE">
              <w:rPr>
                <w:rFonts w:eastAsia="Garamond"/>
                <w:sz w:val="24"/>
                <w:szCs w:val="24"/>
              </w:rPr>
              <w:t>2016</w:t>
            </w:r>
          </w:p>
        </w:tc>
        <w:tc>
          <w:tcPr>
            <w:tcW w:w="2223" w:type="dxa"/>
            <w:tcBorders>
              <w:bottom w:val="single" w:sz="8" w:space="0" w:color="auto"/>
            </w:tcBorders>
            <w:shd w:val="clear" w:color="auto" w:fill="auto"/>
            <w:vAlign w:val="bottom"/>
          </w:tcPr>
          <w:p w14:paraId="58B32BD9" w14:textId="77777777" w:rsidR="00A663AE" w:rsidRPr="00A663AE" w:rsidRDefault="00A663AE" w:rsidP="00A663AE">
            <w:pPr>
              <w:spacing w:line="0" w:lineRule="atLeast"/>
              <w:ind w:left="320"/>
              <w:jc w:val="both"/>
              <w:rPr>
                <w:rFonts w:eastAsia="Garamond"/>
                <w:sz w:val="24"/>
                <w:szCs w:val="24"/>
              </w:rPr>
            </w:pPr>
            <w:r w:rsidRPr="00A663AE">
              <w:rPr>
                <w:rFonts w:eastAsia="Garamond"/>
                <w:sz w:val="24"/>
                <w:szCs w:val="24"/>
              </w:rPr>
              <w:t>150 million</w:t>
            </w:r>
          </w:p>
        </w:tc>
        <w:tc>
          <w:tcPr>
            <w:tcW w:w="3242" w:type="dxa"/>
            <w:tcBorders>
              <w:bottom w:val="single" w:sz="8" w:space="0" w:color="auto"/>
            </w:tcBorders>
            <w:shd w:val="clear" w:color="auto" w:fill="auto"/>
            <w:vAlign w:val="bottom"/>
          </w:tcPr>
          <w:p w14:paraId="6CA60FA7" w14:textId="77777777" w:rsidR="00A663AE" w:rsidRPr="00A663AE" w:rsidRDefault="00A663AE" w:rsidP="00A663AE">
            <w:pPr>
              <w:spacing w:line="0" w:lineRule="atLeast"/>
              <w:ind w:left="440"/>
              <w:jc w:val="both"/>
              <w:rPr>
                <w:rFonts w:eastAsia="Garamond"/>
                <w:sz w:val="24"/>
                <w:szCs w:val="24"/>
              </w:rPr>
            </w:pPr>
            <w:r w:rsidRPr="00A663AE">
              <w:rPr>
                <w:rFonts w:eastAsia="Garamond"/>
                <w:sz w:val="24"/>
                <w:szCs w:val="24"/>
              </w:rPr>
              <w:t>160 million</w:t>
            </w:r>
          </w:p>
        </w:tc>
        <w:tc>
          <w:tcPr>
            <w:tcW w:w="2743" w:type="dxa"/>
            <w:tcBorders>
              <w:bottom w:val="single" w:sz="8" w:space="0" w:color="auto"/>
            </w:tcBorders>
            <w:shd w:val="clear" w:color="auto" w:fill="auto"/>
            <w:vAlign w:val="bottom"/>
          </w:tcPr>
          <w:p w14:paraId="39B3621E" w14:textId="77777777" w:rsidR="00A663AE" w:rsidRPr="00A663AE" w:rsidRDefault="00A663AE" w:rsidP="00A663AE">
            <w:pPr>
              <w:spacing w:line="0" w:lineRule="atLeast"/>
              <w:ind w:left="640"/>
              <w:jc w:val="both"/>
              <w:rPr>
                <w:rFonts w:eastAsia="Garamond"/>
                <w:sz w:val="24"/>
                <w:szCs w:val="24"/>
              </w:rPr>
            </w:pPr>
            <w:r w:rsidRPr="00A663AE">
              <w:rPr>
                <w:rFonts w:eastAsia="Garamond"/>
                <w:sz w:val="24"/>
                <w:szCs w:val="24"/>
              </w:rPr>
              <w:t>20% of 10=2 million</w:t>
            </w:r>
          </w:p>
        </w:tc>
      </w:tr>
    </w:tbl>
    <w:p w14:paraId="5FEE805D" w14:textId="77777777" w:rsidR="00AE120C" w:rsidRDefault="00AE120C" w:rsidP="00AE120C">
      <w:pPr>
        <w:spacing w:line="0" w:lineRule="atLeast"/>
        <w:jc w:val="both"/>
        <w:rPr>
          <w:rFonts w:eastAsia="Garamond"/>
          <w:b/>
          <w:sz w:val="24"/>
          <w:szCs w:val="24"/>
        </w:rPr>
      </w:pPr>
      <w:bookmarkStart w:id="0" w:name="page2"/>
      <w:bookmarkEnd w:id="0"/>
    </w:p>
    <w:p w14:paraId="5BBF5875" w14:textId="77777777" w:rsidR="00A663AE" w:rsidRPr="00A663AE" w:rsidRDefault="00A663AE" w:rsidP="00AE120C">
      <w:pPr>
        <w:spacing w:line="0" w:lineRule="atLeast"/>
        <w:jc w:val="both"/>
        <w:rPr>
          <w:rFonts w:eastAsia="Garamond"/>
          <w:b/>
          <w:sz w:val="24"/>
          <w:szCs w:val="24"/>
        </w:rPr>
      </w:pPr>
      <w:r w:rsidRPr="00A663AE">
        <w:rPr>
          <w:rFonts w:eastAsia="Garamond"/>
          <w:b/>
          <w:sz w:val="24"/>
          <w:szCs w:val="24"/>
        </w:rPr>
        <w:t>Question 3</w:t>
      </w:r>
    </w:p>
    <w:p w14:paraId="56B17730" w14:textId="77777777" w:rsidR="00A663AE" w:rsidRPr="00A663AE" w:rsidRDefault="00A663AE" w:rsidP="00A663AE">
      <w:pPr>
        <w:spacing w:line="236" w:lineRule="exact"/>
        <w:jc w:val="both"/>
        <w:rPr>
          <w:sz w:val="24"/>
          <w:szCs w:val="24"/>
        </w:rPr>
      </w:pPr>
    </w:p>
    <w:p w14:paraId="713661D9" w14:textId="77777777" w:rsidR="00A663AE" w:rsidRPr="00A663AE" w:rsidRDefault="00A663AE" w:rsidP="00A663AE">
      <w:pPr>
        <w:spacing w:line="245" w:lineRule="auto"/>
        <w:ind w:left="140" w:right="320"/>
        <w:jc w:val="both"/>
        <w:rPr>
          <w:rFonts w:eastAsia="Garamond"/>
          <w:sz w:val="24"/>
          <w:szCs w:val="24"/>
        </w:rPr>
      </w:pPr>
      <w:r w:rsidRPr="00A663AE">
        <w:rPr>
          <w:rFonts w:eastAsia="Garamond"/>
          <w:sz w:val="24"/>
          <w:szCs w:val="24"/>
        </w:rPr>
        <w:t>Consider a passive mutual fund, an active mutual fund, and a he</w:t>
      </w:r>
      <w:r w:rsidR="00C56B50">
        <w:rPr>
          <w:rFonts w:eastAsia="Garamond"/>
          <w:sz w:val="24"/>
          <w:szCs w:val="24"/>
        </w:rPr>
        <w:t>dge fund. The mutual funds clai</w:t>
      </w:r>
      <w:r w:rsidRPr="00A663AE">
        <w:rPr>
          <w:rFonts w:eastAsia="Garamond"/>
          <w:sz w:val="24"/>
          <w:szCs w:val="24"/>
        </w:rPr>
        <w:t>m to deliver the following gross returns:</w:t>
      </w:r>
    </w:p>
    <w:p w14:paraId="4E54B3DF" w14:textId="77777777" w:rsidR="00A663AE" w:rsidRPr="00A663AE" w:rsidRDefault="00A663AE" w:rsidP="00A663AE">
      <w:pPr>
        <w:spacing w:line="1" w:lineRule="exact"/>
        <w:jc w:val="both"/>
        <w:rPr>
          <w:sz w:val="24"/>
          <w:szCs w:val="24"/>
        </w:rPr>
      </w:pPr>
    </w:p>
    <w:p w14:paraId="22855D89" w14:textId="77777777" w:rsidR="00C87812" w:rsidRDefault="00C87812" w:rsidP="00C87812">
      <w:pPr>
        <w:spacing w:line="0" w:lineRule="atLeast"/>
        <w:ind w:left="2840"/>
        <w:rPr>
          <w:sz w:val="14"/>
        </w:rPr>
      </w:pPr>
      <w:r>
        <w:rPr>
          <w:i/>
          <w:sz w:val="48"/>
          <w:vertAlign w:val="subscript"/>
        </w:rPr>
        <w:t>r</w:t>
      </w:r>
      <w:r>
        <w:rPr>
          <w:i/>
          <w:sz w:val="28"/>
          <w:vertAlign w:val="subscript"/>
        </w:rPr>
        <w:t>t</w:t>
      </w:r>
      <w:r>
        <w:rPr>
          <w:sz w:val="14"/>
        </w:rPr>
        <w:t xml:space="preserve"> passive fund before fees </w:t>
      </w:r>
      <w:r>
        <w:rPr>
          <w:rFonts w:ascii="Arial" w:eastAsia="Arial" w:hAnsi="Arial"/>
          <w:sz w:val="48"/>
          <w:vertAlign w:val="subscript"/>
        </w:rPr>
        <w:t>=</w:t>
      </w:r>
      <w:r>
        <w:rPr>
          <w:sz w:val="14"/>
        </w:rPr>
        <w:t xml:space="preserve"> </w:t>
      </w:r>
      <w:proofErr w:type="spellStart"/>
      <w:r>
        <w:rPr>
          <w:i/>
          <w:sz w:val="48"/>
          <w:vertAlign w:val="subscript"/>
        </w:rPr>
        <w:t>r</w:t>
      </w:r>
      <w:r>
        <w:rPr>
          <w:i/>
          <w:sz w:val="28"/>
          <w:vertAlign w:val="subscript"/>
        </w:rPr>
        <w:t>t</w:t>
      </w:r>
      <w:r>
        <w:rPr>
          <w:sz w:val="14"/>
        </w:rPr>
        <w:t>stock</w:t>
      </w:r>
      <w:proofErr w:type="spellEnd"/>
      <w:r>
        <w:rPr>
          <w:sz w:val="14"/>
        </w:rPr>
        <w:t xml:space="preserve"> market index</w:t>
      </w:r>
    </w:p>
    <w:p w14:paraId="71621D58" w14:textId="77777777" w:rsidR="00C87812" w:rsidRDefault="00C87812" w:rsidP="00C87812">
      <w:pPr>
        <w:spacing w:line="219" w:lineRule="auto"/>
        <w:ind w:left="2840"/>
        <w:rPr>
          <w:i/>
          <w:sz w:val="28"/>
          <w:vertAlign w:val="subscript"/>
        </w:rPr>
      </w:pPr>
      <w:r>
        <w:rPr>
          <w:i/>
          <w:sz w:val="48"/>
          <w:vertAlign w:val="subscript"/>
        </w:rPr>
        <w:t>r</w:t>
      </w:r>
      <w:r>
        <w:rPr>
          <w:i/>
          <w:sz w:val="28"/>
          <w:vertAlign w:val="subscript"/>
        </w:rPr>
        <w:t>t</w:t>
      </w:r>
      <w:r>
        <w:rPr>
          <w:sz w:val="14"/>
        </w:rPr>
        <w:t xml:space="preserve"> active fund before fees </w:t>
      </w:r>
      <w:r>
        <w:rPr>
          <w:rFonts w:ascii="Arial" w:eastAsia="Arial" w:hAnsi="Arial"/>
          <w:sz w:val="48"/>
          <w:vertAlign w:val="subscript"/>
        </w:rPr>
        <w:t>=</w:t>
      </w:r>
      <w:r>
        <w:rPr>
          <w:sz w:val="14"/>
        </w:rPr>
        <w:t xml:space="preserve"> </w:t>
      </w:r>
      <w:r>
        <w:rPr>
          <w:sz w:val="48"/>
          <w:vertAlign w:val="subscript"/>
        </w:rPr>
        <w:t>2.2%</w:t>
      </w:r>
      <w:r>
        <w:rPr>
          <w:sz w:val="14"/>
        </w:rPr>
        <w:t xml:space="preserve"> </w:t>
      </w:r>
      <w:r>
        <w:rPr>
          <w:rFonts w:ascii="Arial" w:eastAsia="Arial" w:hAnsi="Arial"/>
          <w:sz w:val="48"/>
          <w:vertAlign w:val="subscript"/>
        </w:rPr>
        <w:t>+</w:t>
      </w:r>
      <w:r>
        <w:rPr>
          <w:sz w:val="14"/>
        </w:rPr>
        <w:t xml:space="preserve"> </w:t>
      </w:r>
      <w:r>
        <w:rPr>
          <w:i/>
          <w:sz w:val="48"/>
          <w:vertAlign w:val="subscript"/>
        </w:rPr>
        <w:t>r</w:t>
      </w:r>
      <w:r>
        <w:rPr>
          <w:i/>
          <w:sz w:val="28"/>
          <w:vertAlign w:val="subscript"/>
        </w:rPr>
        <w:t>t</w:t>
      </w:r>
      <w:r>
        <w:rPr>
          <w:sz w:val="14"/>
        </w:rPr>
        <w:t xml:space="preserve"> stock market index </w:t>
      </w:r>
      <w:r>
        <w:rPr>
          <w:rFonts w:ascii="Arial" w:eastAsia="Arial" w:hAnsi="Arial"/>
          <w:sz w:val="48"/>
          <w:vertAlign w:val="subscript"/>
        </w:rPr>
        <w:t>+</w:t>
      </w:r>
      <w:r>
        <w:rPr>
          <w:sz w:val="14"/>
        </w:rPr>
        <w:t xml:space="preserve"> </w:t>
      </w:r>
      <w:proofErr w:type="spellStart"/>
      <w:r>
        <w:rPr>
          <w:rFonts w:ascii="Arial" w:eastAsia="Arial" w:hAnsi="Arial"/>
          <w:i/>
          <w:sz w:val="48"/>
          <w:vertAlign w:val="subscript"/>
        </w:rPr>
        <w:t>ε</w:t>
      </w:r>
      <w:r>
        <w:rPr>
          <w:i/>
          <w:sz w:val="28"/>
          <w:vertAlign w:val="subscript"/>
        </w:rPr>
        <w:t>t</w:t>
      </w:r>
      <w:proofErr w:type="spellEnd"/>
    </w:p>
    <w:p w14:paraId="5C0CAB3C" w14:textId="77777777" w:rsidR="00A663AE" w:rsidRPr="00A663AE" w:rsidRDefault="00A663AE" w:rsidP="00A663AE">
      <w:pPr>
        <w:spacing w:line="282" w:lineRule="exact"/>
        <w:jc w:val="both"/>
        <w:rPr>
          <w:sz w:val="24"/>
          <w:szCs w:val="24"/>
        </w:rPr>
      </w:pPr>
    </w:p>
    <w:p w14:paraId="6D11F6C9" w14:textId="77777777" w:rsidR="00A663AE" w:rsidRPr="00A663AE" w:rsidRDefault="00A663AE" w:rsidP="00A663AE">
      <w:pPr>
        <w:spacing w:line="231" w:lineRule="auto"/>
        <w:ind w:left="140" w:right="240"/>
        <w:jc w:val="both"/>
        <w:rPr>
          <w:sz w:val="24"/>
          <w:szCs w:val="24"/>
        </w:rPr>
      </w:pPr>
      <w:r w:rsidRPr="00A663AE">
        <w:rPr>
          <w:rFonts w:eastAsia="Garamond"/>
          <w:sz w:val="24"/>
          <w:szCs w:val="24"/>
        </w:rPr>
        <w:t xml:space="preserve">The passive fund charges an annual fee of 0.10%. The active mutual fund charges a fee of 1.20% and seeks to beat the same stock market index by about 1% per </w:t>
      </w:r>
      <w:r w:rsidRPr="00C56B50">
        <w:rPr>
          <w:rFonts w:eastAsia="Garamond"/>
          <w:sz w:val="24"/>
          <w:szCs w:val="24"/>
        </w:rPr>
        <w:t>year after</w:t>
      </w:r>
      <w:r w:rsidRPr="00A663AE">
        <w:rPr>
          <w:rFonts w:eastAsia="Garamond"/>
          <w:sz w:val="24"/>
          <w:szCs w:val="24"/>
        </w:rPr>
        <w:t xml:space="preserve"> fees. The active mutual fund has a beta of 1 and has a tracking error </w:t>
      </w:r>
      <w:r w:rsidR="00C87812">
        <w:rPr>
          <w:rFonts w:eastAsia="Garamond"/>
          <w:sz w:val="24"/>
          <w:szCs w:val="24"/>
        </w:rPr>
        <w:t>variance (</w:t>
      </w:r>
      <w:proofErr w:type="gramStart"/>
      <w:r w:rsidR="00C87812">
        <w:rPr>
          <w:sz w:val="24"/>
        </w:rPr>
        <w:t>var(</w:t>
      </w:r>
      <w:proofErr w:type="gramEnd"/>
      <w:r w:rsidR="00C87812">
        <w:rPr>
          <w:rFonts w:ascii="Arial" w:eastAsia="Arial" w:hAnsi="Arial"/>
          <w:i/>
          <w:sz w:val="24"/>
        </w:rPr>
        <w:t>ε</w:t>
      </w:r>
      <w:r w:rsidR="00C87812">
        <w:rPr>
          <w:sz w:val="24"/>
        </w:rPr>
        <w:t xml:space="preserve"> )) </w:t>
      </w:r>
      <w:r w:rsidR="00C87812">
        <w:rPr>
          <w:rFonts w:ascii="Arial" w:eastAsia="Arial" w:hAnsi="Arial"/>
          <w:sz w:val="24"/>
        </w:rPr>
        <w:t>=</w:t>
      </w:r>
      <w:r w:rsidR="00C87812">
        <w:rPr>
          <w:sz w:val="24"/>
        </w:rPr>
        <w:t xml:space="preserve"> 3.5%.</w:t>
      </w:r>
    </w:p>
    <w:p w14:paraId="65355CA0" w14:textId="77777777" w:rsidR="00A663AE" w:rsidRPr="00A663AE" w:rsidRDefault="00A663AE" w:rsidP="00A663AE">
      <w:pPr>
        <w:spacing w:line="20" w:lineRule="exact"/>
        <w:jc w:val="both"/>
        <w:rPr>
          <w:sz w:val="24"/>
          <w:szCs w:val="24"/>
        </w:rPr>
      </w:pPr>
    </w:p>
    <w:p w14:paraId="4B2F5DA3" w14:textId="77777777" w:rsidR="00C56B50" w:rsidRDefault="00A663AE" w:rsidP="00F95BC5">
      <w:pPr>
        <w:spacing w:line="227" w:lineRule="auto"/>
        <w:ind w:left="140" w:right="460"/>
        <w:jc w:val="both"/>
        <w:rPr>
          <w:rFonts w:eastAsia="Garamond"/>
          <w:sz w:val="24"/>
          <w:szCs w:val="24"/>
        </w:rPr>
      </w:pPr>
      <w:r w:rsidRPr="00A663AE">
        <w:rPr>
          <w:rFonts w:eastAsia="Garamond"/>
          <w:sz w:val="24"/>
          <w:szCs w:val="24"/>
        </w:rPr>
        <w:t xml:space="preserve">The hedge fund uses the same strategy as the active mutual fund to identify “good” and “bad” stocks, but implements the strategy as a </w:t>
      </w:r>
      <w:r w:rsidRPr="00A15F84">
        <w:rPr>
          <w:rFonts w:eastAsia="Garamond"/>
          <w:sz w:val="24"/>
          <w:szCs w:val="24"/>
          <w:highlight w:val="yellow"/>
        </w:rPr>
        <w:t>long-short hedge</w:t>
      </w:r>
      <w:r w:rsidRPr="00A663AE">
        <w:rPr>
          <w:rFonts w:eastAsia="Garamond"/>
          <w:sz w:val="24"/>
          <w:szCs w:val="24"/>
        </w:rPr>
        <w:t xml:space="preserve"> fund, applying 4 times leverage. The </w:t>
      </w:r>
      <w:proofErr w:type="gramStart"/>
      <w:r w:rsidRPr="00A663AE">
        <w:rPr>
          <w:rFonts w:eastAsia="Garamond"/>
          <w:sz w:val="24"/>
          <w:szCs w:val="24"/>
        </w:rPr>
        <w:t>risk free</w:t>
      </w:r>
      <w:proofErr w:type="gramEnd"/>
      <w:r w:rsidRPr="00A663AE">
        <w:rPr>
          <w:rFonts w:eastAsia="Garamond"/>
          <w:sz w:val="24"/>
          <w:szCs w:val="24"/>
        </w:rPr>
        <w:t xml:space="preserve"> interest rate is rf=1% and the financing spread is zero (meaning that borrowing and lending rates are equal). Therefore, the hedge fund’s return before fees is</w:t>
      </w:r>
      <w:r w:rsidR="00C56B50">
        <w:rPr>
          <w:rFonts w:eastAsia="Garamond"/>
          <w:sz w:val="24"/>
          <w:szCs w:val="24"/>
        </w:rPr>
        <w:t xml:space="preserve"> </w:t>
      </w:r>
    </w:p>
    <w:p w14:paraId="73280530" w14:textId="77777777" w:rsidR="00C56B50" w:rsidRDefault="00C56B50" w:rsidP="00C56B50">
      <w:pPr>
        <w:spacing w:line="184" w:lineRule="auto"/>
        <w:ind w:right="-139"/>
        <w:jc w:val="center"/>
        <w:rPr>
          <w:sz w:val="40"/>
          <w:vertAlign w:val="subscript"/>
        </w:rPr>
      </w:pPr>
      <w:r>
        <w:rPr>
          <w:i/>
          <w:sz w:val="40"/>
          <w:vertAlign w:val="subscript"/>
        </w:rPr>
        <w:t>r</w:t>
      </w:r>
      <w:r>
        <w:rPr>
          <w:i/>
          <w:sz w:val="24"/>
          <w:vertAlign w:val="subscript"/>
        </w:rPr>
        <w:t>t</w:t>
      </w:r>
      <w:r>
        <w:rPr>
          <w:sz w:val="13"/>
        </w:rPr>
        <w:t xml:space="preserve"> hedge fund before fees </w:t>
      </w:r>
      <w:r>
        <w:rPr>
          <w:rFonts w:ascii="Arial" w:eastAsia="Arial" w:hAnsi="Arial"/>
          <w:sz w:val="40"/>
          <w:vertAlign w:val="subscript"/>
        </w:rPr>
        <w:t>=</w:t>
      </w:r>
      <w:r>
        <w:rPr>
          <w:sz w:val="13"/>
        </w:rPr>
        <w:t xml:space="preserve"> </w:t>
      </w:r>
      <w:r>
        <w:rPr>
          <w:sz w:val="40"/>
          <w:vertAlign w:val="subscript"/>
        </w:rPr>
        <w:t>1%</w:t>
      </w:r>
      <w:r>
        <w:rPr>
          <w:sz w:val="13"/>
        </w:rPr>
        <w:t xml:space="preserve"> </w:t>
      </w:r>
      <w:r>
        <w:rPr>
          <w:rFonts w:ascii="Arial" w:eastAsia="Arial" w:hAnsi="Arial"/>
          <w:sz w:val="40"/>
          <w:vertAlign w:val="subscript"/>
        </w:rPr>
        <w:t>+</w:t>
      </w:r>
      <w:r>
        <w:rPr>
          <w:sz w:val="13"/>
        </w:rPr>
        <w:t xml:space="preserve"> </w:t>
      </w:r>
      <w:r>
        <w:rPr>
          <w:sz w:val="40"/>
          <w:vertAlign w:val="subscript"/>
        </w:rPr>
        <w:t>4</w:t>
      </w:r>
      <w:r>
        <w:rPr>
          <w:sz w:val="13"/>
        </w:rPr>
        <w:t xml:space="preserve"> </w:t>
      </w:r>
      <w:r>
        <w:rPr>
          <w:rFonts w:ascii="Arial" w:eastAsia="Arial" w:hAnsi="Arial"/>
          <w:sz w:val="40"/>
          <w:vertAlign w:val="subscript"/>
        </w:rPr>
        <w:t>×</w:t>
      </w:r>
      <w:r>
        <w:rPr>
          <w:sz w:val="13"/>
        </w:rPr>
        <w:t xml:space="preserve"> </w:t>
      </w:r>
      <w:r>
        <w:rPr>
          <w:sz w:val="40"/>
          <w:vertAlign w:val="subscript"/>
        </w:rPr>
        <w:t>(</w:t>
      </w:r>
      <w:r>
        <w:rPr>
          <w:i/>
          <w:sz w:val="40"/>
          <w:vertAlign w:val="subscript"/>
        </w:rPr>
        <w:t>r</w:t>
      </w:r>
      <w:r>
        <w:rPr>
          <w:i/>
          <w:sz w:val="24"/>
          <w:vertAlign w:val="subscript"/>
        </w:rPr>
        <w:t>t</w:t>
      </w:r>
      <w:r>
        <w:rPr>
          <w:sz w:val="13"/>
        </w:rPr>
        <w:t xml:space="preserve"> active fund before fees </w:t>
      </w:r>
      <w:r>
        <w:rPr>
          <w:rFonts w:ascii="Arial" w:eastAsia="Arial" w:hAnsi="Arial"/>
          <w:sz w:val="40"/>
          <w:vertAlign w:val="subscript"/>
        </w:rPr>
        <w:t>−</w:t>
      </w:r>
      <w:r>
        <w:rPr>
          <w:sz w:val="13"/>
        </w:rPr>
        <w:t xml:space="preserve"> </w:t>
      </w:r>
      <w:proofErr w:type="spellStart"/>
      <w:r>
        <w:rPr>
          <w:i/>
          <w:sz w:val="40"/>
          <w:vertAlign w:val="subscript"/>
        </w:rPr>
        <w:t>r</w:t>
      </w:r>
      <w:r>
        <w:rPr>
          <w:i/>
          <w:sz w:val="24"/>
          <w:vertAlign w:val="subscript"/>
        </w:rPr>
        <w:t>t</w:t>
      </w:r>
      <w:r>
        <w:rPr>
          <w:sz w:val="13"/>
        </w:rPr>
        <w:t>stock</w:t>
      </w:r>
      <w:proofErr w:type="spellEnd"/>
      <w:r>
        <w:rPr>
          <w:sz w:val="13"/>
        </w:rPr>
        <w:t xml:space="preserve"> market </w:t>
      </w:r>
      <w:proofErr w:type="gramStart"/>
      <w:r>
        <w:rPr>
          <w:sz w:val="13"/>
        </w:rPr>
        <w:t xml:space="preserve">index </w:t>
      </w:r>
      <w:r>
        <w:rPr>
          <w:sz w:val="40"/>
          <w:vertAlign w:val="subscript"/>
        </w:rPr>
        <w:t>)</w:t>
      </w:r>
      <w:proofErr w:type="gramEnd"/>
    </w:p>
    <w:p w14:paraId="615BED82" w14:textId="77777777" w:rsidR="00A663AE" w:rsidRPr="00A663AE" w:rsidRDefault="00F95BC5" w:rsidP="00F95BC5">
      <w:pPr>
        <w:spacing w:line="227" w:lineRule="auto"/>
        <w:ind w:left="140" w:right="460"/>
        <w:jc w:val="both"/>
        <w:rPr>
          <w:sz w:val="24"/>
          <w:szCs w:val="24"/>
          <w:vertAlign w:val="subscript"/>
        </w:rPr>
      </w:pPr>
      <w:r>
        <w:rPr>
          <w:rFonts w:eastAsia="Garamond"/>
          <w:sz w:val="24"/>
          <w:szCs w:val="24"/>
        </w:rPr>
        <w:t xml:space="preserve"> </w:t>
      </w:r>
    </w:p>
    <w:p w14:paraId="1EB383CC" w14:textId="77777777" w:rsidR="00A663AE" w:rsidRPr="00A663AE" w:rsidRDefault="00A663AE" w:rsidP="00A663AE">
      <w:pPr>
        <w:spacing w:line="38" w:lineRule="exact"/>
        <w:jc w:val="both"/>
        <w:rPr>
          <w:sz w:val="24"/>
          <w:szCs w:val="24"/>
        </w:rPr>
      </w:pPr>
    </w:p>
    <w:p w14:paraId="67D3EE57" w14:textId="77777777" w:rsidR="00A663AE" w:rsidRPr="00C56B50" w:rsidRDefault="00A663AE" w:rsidP="00A663AE">
      <w:pPr>
        <w:numPr>
          <w:ilvl w:val="0"/>
          <w:numId w:val="25"/>
        </w:numPr>
        <w:tabs>
          <w:tab w:val="left" w:pos="560"/>
        </w:tabs>
        <w:spacing w:after="0" w:line="0" w:lineRule="atLeast"/>
        <w:ind w:left="560" w:hanging="354"/>
        <w:jc w:val="both"/>
        <w:rPr>
          <w:rFonts w:eastAsia="Garamond"/>
          <w:color w:val="231F20"/>
          <w:sz w:val="24"/>
          <w:szCs w:val="24"/>
        </w:rPr>
      </w:pPr>
      <w:r w:rsidRPr="00A663AE">
        <w:rPr>
          <w:rFonts w:eastAsia="Garamond"/>
          <w:sz w:val="24"/>
          <w:szCs w:val="24"/>
        </w:rPr>
        <w:t>What is the hedge fund’s volatility?</w:t>
      </w:r>
    </w:p>
    <w:p w14:paraId="486B7983" w14:textId="77777777" w:rsidR="00C56B50" w:rsidRDefault="00C56B50" w:rsidP="00C56B50">
      <w:pPr>
        <w:tabs>
          <w:tab w:val="left" w:pos="560"/>
        </w:tabs>
        <w:spacing w:after="0" w:line="0" w:lineRule="atLeast"/>
        <w:ind w:left="206"/>
        <w:jc w:val="both"/>
        <w:rPr>
          <w:rFonts w:eastAsia="Garamond"/>
          <w:sz w:val="24"/>
          <w:szCs w:val="24"/>
        </w:rPr>
      </w:pPr>
    </w:p>
    <w:p w14:paraId="5E2184BC" w14:textId="77777777" w:rsidR="00C56B50" w:rsidRPr="00C56B50" w:rsidRDefault="00C56B50" w:rsidP="00C56B50">
      <w:pPr>
        <w:tabs>
          <w:tab w:val="left" w:pos="560"/>
        </w:tabs>
        <w:spacing w:after="0" w:line="0" w:lineRule="atLeast"/>
        <w:ind w:left="206"/>
        <w:jc w:val="both"/>
        <w:rPr>
          <w:rFonts w:eastAsia="Garamond"/>
          <w:b/>
          <w:color w:val="231F20"/>
          <w:sz w:val="24"/>
          <w:szCs w:val="24"/>
        </w:rPr>
      </w:pPr>
      <w:r w:rsidRPr="00C56B50">
        <w:rPr>
          <w:rFonts w:eastAsia="Garamond"/>
          <w:b/>
          <w:sz w:val="24"/>
          <w:szCs w:val="24"/>
        </w:rPr>
        <w:t>Answer:</w:t>
      </w:r>
    </w:p>
    <w:p w14:paraId="46EDFA96" w14:textId="77777777" w:rsidR="00A663AE" w:rsidRPr="00A663AE" w:rsidRDefault="00A663AE" w:rsidP="00A663AE">
      <w:pPr>
        <w:spacing w:line="103" w:lineRule="exact"/>
        <w:jc w:val="both"/>
        <w:rPr>
          <w:sz w:val="24"/>
          <w:szCs w:val="24"/>
        </w:rPr>
      </w:pPr>
    </w:p>
    <w:p w14:paraId="32B3219D" w14:textId="60517823" w:rsidR="00A663AE" w:rsidRPr="00A663AE" w:rsidRDefault="00A663AE" w:rsidP="00A663AE">
      <w:pPr>
        <w:spacing w:line="226" w:lineRule="auto"/>
        <w:ind w:left="140" w:right="300"/>
        <w:jc w:val="both"/>
        <w:rPr>
          <w:rFonts w:eastAsia="Garamond"/>
          <w:sz w:val="24"/>
          <w:szCs w:val="24"/>
        </w:rPr>
      </w:pPr>
      <w:r w:rsidRPr="00A663AE">
        <w:rPr>
          <w:rFonts w:eastAsia="Garamond"/>
          <w:sz w:val="24"/>
          <w:szCs w:val="24"/>
        </w:rPr>
        <w:t>The hedge fund employs a long-short strategy meaning zero systematic risk with the market and only fund specific risk. Thus, the hedge fund’s volatility is 4×</w:t>
      </w:r>
      <w:proofErr w:type="gramStart"/>
      <w:r w:rsidR="0051042D">
        <w:rPr>
          <w:rFonts w:eastAsia="Garamond"/>
          <w:sz w:val="24"/>
          <w:szCs w:val="24"/>
        </w:rPr>
        <w:t>Sqrt(</w:t>
      </w:r>
      <w:proofErr w:type="gramEnd"/>
      <w:r w:rsidRPr="00A663AE">
        <w:rPr>
          <w:rFonts w:eastAsia="Garamond"/>
          <w:sz w:val="24"/>
          <w:szCs w:val="24"/>
        </w:rPr>
        <w:t>3.5%</w:t>
      </w:r>
      <w:r w:rsidR="0051042D">
        <w:rPr>
          <w:rFonts w:eastAsia="Garamond"/>
          <w:sz w:val="24"/>
          <w:szCs w:val="24"/>
        </w:rPr>
        <w:t>)</w:t>
      </w:r>
      <w:r w:rsidRPr="00A663AE">
        <w:rPr>
          <w:rFonts w:eastAsia="Garamond"/>
          <w:sz w:val="24"/>
          <w:szCs w:val="24"/>
        </w:rPr>
        <w:t xml:space="preserve"> = </w:t>
      </w:r>
      <w:r w:rsidR="0051042D">
        <w:rPr>
          <w:rFonts w:eastAsia="Garamond"/>
          <w:sz w:val="24"/>
          <w:szCs w:val="24"/>
        </w:rPr>
        <w:t>7</w:t>
      </w:r>
      <w:r w:rsidR="00E50DA0">
        <w:rPr>
          <w:rFonts w:eastAsia="Garamond"/>
          <w:sz w:val="24"/>
          <w:szCs w:val="24"/>
        </w:rPr>
        <w:t>5</w:t>
      </w:r>
      <w:r w:rsidRPr="00A663AE">
        <w:rPr>
          <w:rFonts w:eastAsia="Garamond"/>
          <w:sz w:val="24"/>
          <w:szCs w:val="24"/>
        </w:rPr>
        <w:t>%.</w:t>
      </w:r>
    </w:p>
    <w:p w14:paraId="1D1D44B3" w14:textId="77777777" w:rsidR="00A663AE" w:rsidRPr="00A663AE" w:rsidRDefault="00A663AE" w:rsidP="00A663AE">
      <w:pPr>
        <w:spacing w:line="192" w:lineRule="exact"/>
        <w:jc w:val="both"/>
        <w:rPr>
          <w:sz w:val="24"/>
          <w:szCs w:val="24"/>
        </w:rPr>
      </w:pPr>
    </w:p>
    <w:p w14:paraId="06E15781" w14:textId="77777777" w:rsidR="00A663AE" w:rsidRPr="00C56B50" w:rsidRDefault="00A663AE" w:rsidP="00A663AE">
      <w:pPr>
        <w:numPr>
          <w:ilvl w:val="0"/>
          <w:numId w:val="26"/>
        </w:numPr>
        <w:tabs>
          <w:tab w:val="left" w:pos="560"/>
        </w:tabs>
        <w:spacing w:after="0" w:line="0" w:lineRule="atLeast"/>
        <w:ind w:left="560" w:hanging="354"/>
        <w:jc w:val="both"/>
        <w:rPr>
          <w:rFonts w:eastAsia="Garamond"/>
          <w:color w:val="231F20"/>
          <w:sz w:val="24"/>
          <w:szCs w:val="24"/>
        </w:rPr>
      </w:pPr>
      <w:r w:rsidRPr="00A663AE">
        <w:rPr>
          <w:rFonts w:eastAsia="Garamond"/>
          <w:sz w:val="24"/>
          <w:szCs w:val="24"/>
        </w:rPr>
        <w:t>What is the hedge fund’s beta?</w:t>
      </w:r>
    </w:p>
    <w:p w14:paraId="0DE6A67D" w14:textId="77777777" w:rsidR="00C56B50" w:rsidRDefault="00C56B50" w:rsidP="00C56B50">
      <w:pPr>
        <w:tabs>
          <w:tab w:val="left" w:pos="560"/>
        </w:tabs>
        <w:spacing w:after="0" w:line="0" w:lineRule="atLeast"/>
        <w:ind w:left="206"/>
        <w:jc w:val="both"/>
        <w:rPr>
          <w:rFonts w:eastAsia="Garamond"/>
          <w:sz w:val="24"/>
          <w:szCs w:val="24"/>
        </w:rPr>
      </w:pPr>
    </w:p>
    <w:p w14:paraId="648DCCD8" w14:textId="77777777" w:rsidR="00C56B50" w:rsidRPr="00C56B50" w:rsidRDefault="00C56B50" w:rsidP="00C56B50">
      <w:pPr>
        <w:tabs>
          <w:tab w:val="left" w:pos="560"/>
        </w:tabs>
        <w:spacing w:after="0" w:line="0" w:lineRule="atLeast"/>
        <w:ind w:left="206"/>
        <w:jc w:val="both"/>
        <w:rPr>
          <w:rFonts w:eastAsia="Garamond"/>
          <w:b/>
          <w:color w:val="231F20"/>
          <w:sz w:val="24"/>
          <w:szCs w:val="24"/>
        </w:rPr>
      </w:pPr>
      <w:r w:rsidRPr="00C56B50">
        <w:rPr>
          <w:rFonts w:eastAsia="Garamond"/>
          <w:b/>
          <w:sz w:val="24"/>
          <w:szCs w:val="24"/>
        </w:rPr>
        <w:t>Answer:</w:t>
      </w:r>
    </w:p>
    <w:p w14:paraId="2EF86697" w14:textId="77777777" w:rsidR="00C56B50" w:rsidRDefault="00C56B50" w:rsidP="00A663AE">
      <w:pPr>
        <w:spacing w:line="226" w:lineRule="auto"/>
        <w:ind w:left="140" w:right="920"/>
        <w:jc w:val="both"/>
        <w:rPr>
          <w:rFonts w:eastAsia="Garamond"/>
          <w:sz w:val="24"/>
          <w:szCs w:val="24"/>
        </w:rPr>
      </w:pPr>
    </w:p>
    <w:p w14:paraId="0A848CD2" w14:textId="77777777" w:rsidR="00A663AE" w:rsidRPr="00A663AE" w:rsidRDefault="00A663AE" w:rsidP="00C56B50">
      <w:pPr>
        <w:spacing w:line="226" w:lineRule="auto"/>
        <w:ind w:left="140" w:right="920" w:firstLine="66"/>
        <w:jc w:val="both"/>
        <w:rPr>
          <w:rFonts w:eastAsia="Garamond"/>
          <w:sz w:val="24"/>
          <w:szCs w:val="24"/>
        </w:rPr>
      </w:pPr>
      <w:r w:rsidRPr="00A663AE">
        <w:rPr>
          <w:rFonts w:eastAsia="Garamond"/>
          <w:sz w:val="24"/>
          <w:szCs w:val="24"/>
        </w:rPr>
        <w:t>Since the hedge fund employs a long -short strategy, it indicates that the strategy is market neutral, thus the hedge fund’s beta is zero.</w:t>
      </w:r>
    </w:p>
    <w:p w14:paraId="1A1AFF3A" w14:textId="77777777" w:rsidR="00A663AE" w:rsidRPr="00A663AE" w:rsidRDefault="00A663AE" w:rsidP="00A663AE">
      <w:pPr>
        <w:spacing w:line="192" w:lineRule="exact"/>
        <w:jc w:val="both"/>
        <w:rPr>
          <w:sz w:val="24"/>
          <w:szCs w:val="24"/>
        </w:rPr>
      </w:pPr>
    </w:p>
    <w:p w14:paraId="18BE0A9F" w14:textId="77777777" w:rsidR="00A663AE" w:rsidRPr="00A663AE" w:rsidRDefault="00A663AE" w:rsidP="00A663AE">
      <w:pPr>
        <w:numPr>
          <w:ilvl w:val="0"/>
          <w:numId w:val="27"/>
        </w:numPr>
        <w:tabs>
          <w:tab w:val="left" w:pos="560"/>
        </w:tabs>
        <w:spacing w:after="0" w:line="0" w:lineRule="atLeast"/>
        <w:ind w:left="560" w:hanging="354"/>
        <w:jc w:val="both"/>
        <w:rPr>
          <w:rFonts w:eastAsia="Garamond"/>
          <w:color w:val="231F20"/>
          <w:sz w:val="24"/>
          <w:szCs w:val="24"/>
        </w:rPr>
      </w:pPr>
      <w:r w:rsidRPr="00A663AE">
        <w:rPr>
          <w:rFonts w:eastAsia="Garamond"/>
          <w:sz w:val="24"/>
          <w:szCs w:val="24"/>
        </w:rPr>
        <w:t>What is the hedge fund’s alpha before fees (based on the mutual fund’s alpha estimate)?</w:t>
      </w:r>
    </w:p>
    <w:p w14:paraId="4DAA323A" w14:textId="77777777" w:rsidR="00A663AE" w:rsidRPr="00A663AE" w:rsidRDefault="00A663AE" w:rsidP="00A663AE">
      <w:pPr>
        <w:spacing w:line="155" w:lineRule="exact"/>
        <w:jc w:val="both"/>
        <w:rPr>
          <w:sz w:val="24"/>
          <w:szCs w:val="24"/>
        </w:rPr>
      </w:pPr>
    </w:p>
    <w:p w14:paraId="1555CB51" w14:textId="77777777" w:rsidR="00C56B50" w:rsidRDefault="00C56B50" w:rsidP="00A663AE">
      <w:pPr>
        <w:spacing w:line="225" w:lineRule="auto"/>
        <w:ind w:left="140" w:right="440"/>
        <w:jc w:val="both"/>
        <w:rPr>
          <w:rFonts w:eastAsia="Garamond"/>
          <w:sz w:val="24"/>
          <w:szCs w:val="24"/>
        </w:rPr>
      </w:pPr>
    </w:p>
    <w:p w14:paraId="176599A7" w14:textId="77777777" w:rsidR="00C56B50" w:rsidRPr="00C56B50" w:rsidRDefault="00C56B50" w:rsidP="00C56B50">
      <w:pPr>
        <w:tabs>
          <w:tab w:val="left" w:pos="560"/>
        </w:tabs>
        <w:spacing w:after="0" w:line="0" w:lineRule="atLeast"/>
        <w:ind w:left="206"/>
        <w:jc w:val="both"/>
        <w:rPr>
          <w:rFonts w:eastAsia="Garamond"/>
          <w:b/>
          <w:color w:val="231F20"/>
          <w:sz w:val="24"/>
          <w:szCs w:val="24"/>
        </w:rPr>
      </w:pPr>
      <w:r w:rsidRPr="00C56B50">
        <w:rPr>
          <w:rFonts w:eastAsia="Garamond"/>
          <w:b/>
          <w:sz w:val="24"/>
          <w:szCs w:val="24"/>
        </w:rPr>
        <w:t>Answer:</w:t>
      </w:r>
    </w:p>
    <w:p w14:paraId="2FC44A20" w14:textId="77777777" w:rsidR="00C56B50" w:rsidRDefault="00C56B50" w:rsidP="00A663AE">
      <w:pPr>
        <w:spacing w:line="225" w:lineRule="auto"/>
        <w:ind w:left="140" w:right="440"/>
        <w:jc w:val="both"/>
        <w:rPr>
          <w:rFonts w:eastAsia="Garamond"/>
          <w:sz w:val="24"/>
          <w:szCs w:val="24"/>
        </w:rPr>
      </w:pPr>
    </w:p>
    <w:p w14:paraId="185C78C8" w14:textId="77777777" w:rsidR="00A663AE" w:rsidRPr="00A663AE" w:rsidRDefault="00A663AE" w:rsidP="00A663AE">
      <w:pPr>
        <w:spacing w:line="225" w:lineRule="auto"/>
        <w:ind w:left="140" w:right="440"/>
        <w:jc w:val="both"/>
        <w:rPr>
          <w:rFonts w:eastAsia="Garamond"/>
          <w:sz w:val="24"/>
          <w:szCs w:val="24"/>
        </w:rPr>
      </w:pPr>
      <w:r w:rsidRPr="00A663AE">
        <w:rPr>
          <w:rFonts w:eastAsia="Garamond"/>
          <w:sz w:val="24"/>
          <w:szCs w:val="24"/>
        </w:rPr>
        <w:t>The hedge fund’s alpha before fees is its expected excess return minus its beta times the equity risk premium, i.e., 4×2.20% = 8.80%.</w:t>
      </w:r>
    </w:p>
    <w:p w14:paraId="2E924B40" w14:textId="77777777" w:rsidR="00917F28" w:rsidRDefault="00917F28" w:rsidP="00917F28">
      <w:pPr>
        <w:pStyle w:val="2"/>
        <w:spacing w:line="300" w:lineRule="atLeast"/>
        <w:ind w:hanging="284"/>
        <w:rPr>
          <w:sz w:val="24"/>
          <w:szCs w:val="24"/>
        </w:rPr>
      </w:pPr>
    </w:p>
    <w:p w14:paraId="3D5DB1BD" w14:textId="77777777" w:rsidR="00917F28" w:rsidRDefault="00917F28" w:rsidP="00917F28">
      <w:pPr>
        <w:spacing w:line="300" w:lineRule="atLeast"/>
        <w:ind w:left="284" w:hanging="284"/>
        <w:rPr>
          <w:sz w:val="24"/>
          <w:szCs w:val="24"/>
        </w:rPr>
      </w:pPr>
      <w:r w:rsidRPr="00917F28">
        <w:rPr>
          <w:b/>
          <w:sz w:val="24"/>
          <w:szCs w:val="24"/>
        </w:rPr>
        <w:t>Question 4.</w:t>
      </w:r>
    </w:p>
    <w:p w14:paraId="4E78712E" w14:textId="77777777" w:rsidR="00917F28" w:rsidRDefault="00917F28" w:rsidP="00917F28">
      <w:pPr>
        <w:spacing w:line="300" w:lineRule="atLeast"/>
        <w:ind w:left="284" w:hanging="284"/>
        <w:rPr>
          <w:sz w:val="24"/>
          <w:szCs w:val="24"/>
        </w:rPr>
      </w:pPr>
      <w:r>
        <w:rPr>
          <w:sz w:val="24"/>
          <w:szCs w:val="24"/>
        </w:rPr>
        <w:tab/>
        <w:t>You are working for a hedge fund and you have been researching a AAA (</w:t>
      </w:r>
      <w:proofErr w:type="spellStart"/>
      <w:r>
        <w:rPr>
          <w:sz w:val="24"/>
          <w:szCs w:val="24"/>
        </w:rPr>
        <w:t>ie</w:t>
      </w:r>
      <w:proofErr w:type="spellEnd"/>
      <w:r>
        <w:rPr>
          <w:sz w:val="24"/>
          <w:szCs w:val="24"/>
        </w:rPr>
        <w:t xml:space="preserve"> very low risk of default) 10-year corporate bond which you believe is trading cheaply. You expect the bond to have a return of 7.5% p.a., while the comparable 10-year Treasury bond has an expected return of 6%. The annual volatility of the corporate bond is 6.5% and that of the Treasury bond is 6%; the correlation between them is 0.95. You think of buying the corporate bond and short selling the Treasury to hedge yourself, but the spread of only 1.5% between the expected returns on the two bonds makes this not a very exciting proposition.</w:t>
      </w:r>
    </w:p>
    <w:p w14:paraId="7D9AE386" w14:textId="77777777" w:rsidR="00917F28" w:rsidRDefault="00917F28" w:rsidP="00917F28">
      <w:pPr>
        <w:spacing w:line="300" w:lineRule="atLeast"/>
        <w:ind w:left="284"/>
        <w:rPr>
          <w:sz w:val="24"/>
          <w:szCs w:val="24"/>
        </w:rPr>
      </w:pPr>
      <w:r>
        <w:rPr>
          <w:sz w:val="24"/>
          <w:szCs w:val="24"/>
        </w:rPr>
        <w:t>Your thoughts turn to leveraging your position. You can borrow or lend short term at the Treasury bill rate of 5.4%.</w:t>
      </w:r>
    </w:p>
    <w:p w14:paraId="3A178883" w14:textId="77777777" w:rsidR="00917F28" w:rsidRDefault="00917F28" w:rsidP="00917F28">
      <w:pPr>
        <w:spacing w:line="300" w:lineRule="atLeast"/>
        <w:ind w:left="284" w:hanging="284"/>
        <w:rPr>
          <w:sz w:val="24"/>
          <w:szCs w:val="24"/>
        </w:rPr>
      </w:pPr>
      <w:r>
        <w:rPr>
          <w:sz w:val="24"/>
          <w:szCs w:val="24"/>
        </w:rPr>
        <w:t>(a)</w:t>
      </w:r>
      <w:r>
        <w:rPr>
          <w:sz w:val="24"/>
          <w:szCs w:val="24"/>
        </w:rPr>
        <w:tab/>
        <w:t>Supposing that you want to construct a portfolio consisting of the corporate bond, the treasury bond, and borrowing or lending, design the portfolio that has an expected return of 40% and minimum risk.</w:t>
      </w:r>
    </w:p>
    <w:p w14:paraId="33DCD4BE" w14:textId="77777777" w:rsidR="00917F28" w:rsidRDefault="00917F28" w:rsidP="00917F28">
      <w:pPr>
        <w:spacing w:line="300" w:lineRule="atLeast"/>
        <w:rPr>
          <w:b/>
          <w:sz w:val="24"/>
          <w:szCs w:val="24"/>
        </w:rPr>
      </w:pPr>
      <w:r>
        <w:rPr>
          <w:b/>
          <w:sz w:val="24"/>
          <w:szCs w:val="24"/>
        </w:rPr>
        <w:t>If you invest a fraction c of your portfolio in the corporate bond, and a fraction t in the Treasury bond the expected return on the portfolio is:</w:t>
      </w:r>
    </w:p>
    <w:p w14:paraId="39DA5DFB" w14:textId="77777777" w:rsidR="00917F28" w:rsidRDefault="00917F28" w:rsidP="00917F28">
      <w:pPr>
        <w:spacing w:line="300" w:lineRule="atLeast"/>
        <w:rPr>
          <w:b/>
          <w:sz w:val="24"/>
          <w:szCs w:val="24"/>
        </w:rPr>
      </w:pPr>
      <w:r>
        <w:rPr>
          <w:b/>
          <w:sz w:val="24"/>
          <w:szCs w:val="24"/>
        </w:rPr>
        <w:tab/>
        <w:t>E[</w:t>
      </w:r>
      <w:proofErr w:type="spellStart"/>
      <w:r>
        <w:rPr>
          <w:b/>
          <w:i/>
          <w:sz w:val="24"/>
          <w:szCs w:val="24"/>
        </w:rPr>
        <w:t>r</w:t>
      </w:r>
      <w:r>
        <w:rPr>
          <w:b/>
          <w:i/>
          <w:sz w:val="24"/>
          <w:szCs w:val="24"/>
          <w:vertAlign w:val="subscript"/>
        </w:rPr>
        <w:t>p</w:t>
      </w:r>
      <w:proofErr w:type="spellEnd"/>
      <w:r>
        <w:rPr>
          <w:b/>
          <w:sz w:val="24"/>
          <w:szCs w:val="24"/>
        </w:rPr>
        <w:t xml:space="preserve">] = 7.5% x </w:t>
      </w:r>
      <w:r>
        <w:rPr>
          <w:b/>
          <w:i/>
          <w:sz w:val="24"/>
          <w:szCs w:val="24"/>
        </w:rPr>
        <w:t>c</w:t>
      </w:r>
      <w:r>
        <w:rPr>
          <w:b/>
          <w:sz w:val="24"/>
          <w:szCs w:val="24"/>
        </w:rPr>
        <w:t xml:space="preserve"> + 6% x </w:t>
      </w:r>
      <w:r>
        <w:rPr>
          <w:b/>
          <w:i/>
          <w:sz w:val="24"/>
          <w:szCs w:val="24"/>
        </w:rPr>
        <w:t>t</w:t>
      </w:r>
      <w:r>
        <w:rPr>
          <w:b/>
          <w:sz w:val="24"/>
          <w:szCs w:val="24"/>
        </w:rPr>
        <w:t xml:space="preserve"> + 5.4% x (1 – </w:t>
      </w:r>
      <w:r>
        <w:rPr>
          <w:b/>
          <w:i/>
          <w:sz w:val="24"/>
          <w:szCs w:val="24"/>
        </w:rPr>
        <w:t>t – c</w:t>
      </w:r>
      <w:r>
        <w:rPr>
          <w:b/>
          <w:sz w:val="24"/>
          <w:szCs w:val="24"/>
        </w:rPr>
        <w:t>) = (5.4 + 2.1</w:t>
      </w:r>
      <w:r>
        <w:rPr>
          <w:b/>
          <w:i/>
          <w:sz w:val="24"/>
          <w:szCs w:val="24"/>
        </w:rPr>
        <w:t>c</w:t>
      </w:r>
      <w:r>
        <w:rPr>
          <w:b/>
          <w:sz w:val="24"/>
          <w:szCs w:val="24"/>
        </w:rPr>
        <w:t xml:space="preserve"> + </w:t>
      </w:r>
      <w:proofErr w:type="gramStart"/>
      <w:r>
        <w:rPr>
          <w:b/>
          <w:sz w:val="24"/>
          <w:szCs w:val="24"/>
        </w:rPr>
        <w:t>0.6</w:t>
      </w:r>
      <w:r>
        <w:rPr>
          <w:b/>
          <w:i/>
          <w:sz w:val="24"/>
          <w:szCs w:val="24"/>
        </w:rPr>
        <w:t>t</w:t>
      </w:r>
      <w:r>
        <w:rPr>
          <w:b/>
          <w:sz w:val="24"/>
          <w:szCs w:val="24"/>
        </w:rPr>
        <w:t>)%</w:t>
      </w:r>
      <w:proofErr w:type="gramEnd"/>
    </w:p>
    <w:p w14:paraId="095441AD" w14:textId="77777777" w:rsidR="00917F28" w:rsidRDefault="00917F28" w:rsidP="00917F28">
      <w:pPr>
        <w:spacing w:line="300" w:lineRule="atLeast"/>
        <w:rPr>
          <w:b/>
          <w:sz w:val="24"/>
          <w:szCs w:val="24"/>
        </w:rPr>
      </w:pPr>
      <w:r>
        <w:rPr>
          <w:b/>
          <w:sz w:val="24"/>
          <w:szCs w:val="24"/>
        </w:rPr>
        <w:t>Using the standard formula for the variance of a portfolio, and noting that the risk of T-bills is zero, the variance of the portfolio is:</w:t>
      </w:r>
    </w:p>
    <w:p w14:paraId="00683503" w14:textId="77777777" w:rsidR="00917F28" w:rsidRPr="000C4985" w:rsidRDefault="00917F28" w:rsidP="00917F28">
      <w:pPr>
        <w:spacing w:line="300" w:lineRule="atLeast"/>
        <w:ind w:left="720"/>
        <w:rPr>
          <w:b/>
          <w:sz w:val="24"/>
          <w:szCs w:val="24"/>
          <w:lang w:val="fr-FR"/>
        </w:rPr>
      </w:pPr>
      <w:r w:rsidRPr="000C4985">
        <w:rPr>
          <w:b/>
          <w:sz w:val="24"/>
          <w:szCs w:val="24"/>
          <w:lang w:val="fr-FR"/>
        </w:rPr>
        <w:t>Var[</w:t>
      </w:r>
      <w:proofErr w:type="spellStart"/>
      <w:r w:rsidRPr="000C4985">
        <w:rPr>
          <w:b/>
          <w:i/>
          <w:sz w:val="24"/>
          <w:szCs w:val="24"/>
          <w:lang w:val="fr-FR"/>
        </w:rPr>
        <w:t>r</w:t>
      </w:r>
      <w:r w:rsidRPr="000C4985">
        <w:rPr>
          <w:b/>
          <w:i/>
          <w:sz w:val="24"/>
          <w:szCs w:val="24"/>
          <w:vertAlign w:val="subscript"/>
          <w:lang w:val="fr-FR"/>
        </w:rPr>
        <w:t>p</w:t>
      </w:r>
      <w:proofErr w:type="spellEnd"/>
      <w:r w:rsidRPr="000C4985">
        <w:rPr>
          <w:b/>
          <w:sz w:val="24"/>
          <w:szCs w:val="24"/>
          <w:lang w:val="fr-FR"/>
        </w:rPr>
        <w:t>] = (6.5%)</w:t>
      </w:r>
      <w:r w:rsidRPr="000C4985">
        <w:rPr>
          <w:b/>
          <w:sz w:val="24"/>
          <w:szCs w:val="24"/>
          <w:vertAlign w:val="superscript"/>
          <w:lang w:val="fr-FR"/>
        </w:rPr>
        <w:t>2</w:t>
      </w:r>
      <w:r w:rsidRPr="000C4985">
        <w:rPr>
          <w:b/>
          <w:i/>
          <w:sz w:val="24"/>
          <w:szCs w:val="24"/>
          <w:lang w:val="fr-FR"/>
        </w:rPr>
        <w:t>c</w:t>
      </w:r>
      <w:r w:rsidRPr="000C4985">
        <w:rPr>
          <w:b/>
          <w:sz w:val="24"/>
          <w:szCs w:val="24"/>
          <w:vertAlign w:val="superscript"/>
          <w:lang w:val="fr-FR"/>
        </w:rPr>
        <w:t>2</w:t>
      </w:r>
      <w:r w:rsidRPr="000C4985">
        <w:rPr>
          <w:b/>
          <w:sz w:val="24"/>
          <w:szCs w:val="24"/>
          <w:lang w:val="fr-FR"/>
        </w:rPr>
        <w:t xml:space="preserve"> + 2 x 0.95 x 6.5% x 6% x </w:t>
      </w:r>
      <w:r w:rsidRPr="000C4985">
        <w:rPr>
          <w:b/>
          <w:i/>
          <w:sz w:val="24"/>
          <w:szCs w:val="24"/>
          <w:lang w:val="fr-FR"/>
        </w:rPr>
        <w:t>ct</w:t>
      </w:r>
      <w:r w:rsidRPr="000C4985">
        <w:rPr>
          <w:b/>
          <w:sz w:val="24"/>
          <w:szCs w:val="24"/>
          <w:lang w:val="fr-FR"/>
        </w:rPr>
        <w:t xml:space="preserve"> + (6%)</w:t>
      </w:r>
      <w:r w:rsidRPr="000C4985">
        <w:rPr>
          <w:b/>
          <w:sz w:val="24"/>
          <w:szCs w:val="24"/>
          <w:vertAlign w:val="superscript"/>
          <w:lang w:val="fr-FR"/>
        </w:rPr>
        <w:t>2</w:t>
      </w:r>
      <w:r w:rsidRPr="000C4985">
        <w:rPr>
          <w:b/>
          <w:i/>
          <w:sz w:val="24"/>
          <w:szCs w:val="24"/>
          <w:lang w:val="fr-FR"/>
        </w:rPr>
        <w:t>t</w:t>
      </w:r>
      <w:r w:rsidRPr="000C4985">
        <w:rPr>
          <w:b/>
          <w:sz w:val="24"/>
          <w:szCs w:val="24"/>
          <w:vertAlign w:val="superscript"/>
          <w:lang w:val="fr-FR"/>
        </w:rPr>
        <w:t>2</w:t>
      </w:r>
      <w:r w:rsidRPr="000C4985">
        <w:rPr>
          <w:b/>
          <w:sz w:val="24"/>
          <w:szCs w:val="24"/>
          <w:lang w:val="fr-FR"/>
        </w:rPr>
        <w:t xml:space="preserve"> </w:t>
      </w:r>
    </w:p>
    <w:p w14:paraId="38C6592E" w14:textId="77777777" w:rsidR="00917F28" w:rsidRDefault="00917F28" w:rsidP="00917F28">
      <w:pPr>
        <w:spacing w:line="300" w:lineRule="atLeast"/>
        <w:ind w:left="720"/>
        <w:rPr>
          <w:b/>
          <w:sz w:val="24"/>
          <w:szCs w:val="24"/>
        </w:rPr>
      </w:pPr>
      <w:r>
        <w:rPr>
          <w:b/>
          <w:sz w:val="24"/>
          <w:szCs w:val="24"/>
        </w:rPr>
        <w:t>= (42.25</w:t>
      </w:r>
      <w:r>
        <w:rPr>
          <w:b/>
          <w:i/>
          <w:sz w:val="24"/>
          <w:szCs w:val="24"/>
        </w:rPr>
        <w:t>c</w:t>
      </w:r>
      <w:r>
        <w:rPr>
          <w:b/>
          <w:sz w:val="24"/>
          <w:szCs w:val="24"/>
          <w:vertAlign w:val="superscript"/>
        </w:rPr>
        <w:t>2</w:t>
      </w:r>
      <w:r>
        <w:rPr>
          <w:b/>
          <w:sz w:val="24"/>
          <w:szCs w:val="24"/>
        </w:rPr>
        <w:t xml:space="preserve"> + 74.1</w:t>
      </w:r>
      <w:r>
        <w:rPr>
          <w:b/>
          <w:i/>
          <w:sz w:val="24"/>
          <w:szCs w:val="24"/>
        </w:rPr>
        <w:t>ct</w:t>
      </w:r>
      <w:r>
        <w:rPr>
          <w:b/>
          <w:sz w:val="24"/>
          <w:szCs w:val="24"/>
        </w:rPr>
        <w:t xml:space="preserve"> + 36</w:t>
      </w:r>
      <w:r>
        <w:rPr>
          <w:b/>
          <w:i/>
          <w:sz w:val="24"/>
          <w:szCs w:val="24"/>
        </w:rPr>
        <w:t>t</w:t>
      </w:r>
      <w:proofErr w:type="gramStart"/>
      <w:r>
        <w:rPr>
          <w:b/>
          <w:sz w:val="24"/>
          <w:szCs w:val="24"/>
          <w:vertAlign w:val="superscript"/>
        </w:rPr>
        <w:t>2</w:t>
      </w:r>
      <w:r>
        <w:rPr>
          <w:b/>
          <w:sz w:val="24"/>
          <w:szCs w:val="24"/>
        </w:rPr>
        <w:t>)%</w:t>
      </w:r>
      <w:proofErr w:type="gramEnd"/>
      <w:r>
        <w:rPr>
          <w:b/>
          <w:sz w:val="24"/>
          <w:szCs w:val="24"/>
        </w:rPr>
        <w:t>%</w:t>
      </w:r>
    </w:p>
    <w:p w14:paraId="2C58102E" w14:textId="77777777" w:rsidR="00917F28" w:rsidRDefault="00917F28" w:rsidP="00917F28">
      <w:pPr>
        <w:spacing w:line="300" w:lineRule="atLeast"/>
        <w:rPr>
          <w:b/>
          <w:sz w:val="24"/>
          <w:szCs w:val="24"/>
        </w:rPr>
      </w:pPr>
      <w:r>
        <w:rPr>
          <w:b/>
          <w:sz w:val="24"/>
          <w:szCs w:val="24"/>
        </w:rPr>
        <w:t>To get a return of 40%, need:</w:t>
      </w:r>
    </w:p>
    <w:p w14:paraId="49718E1A" w14:textId="77777777" w:rsidR="00917F28" w:rsidRPr="006B1C0A" w:rsidRDefault="00917F28" w:rsidP="00917F28">
      <w:pPr>
        <w:spacing w:line="300" w:lineRule="atLeast"/>
        <w:rPr>
          <w:b/>
          <w:sz w:val="24"/>
          <w:szCs w:val="24"/>
        </w:rPr>
      </w:pPr>
      <w:r>
        <w:rPr>
          <w:b/>
          <w:sz w:val="24"/>
          <w:szCs w:val="24"/>
        </w:rPr>
        <w:tab/>
      </w:r>
      <w:r w:rsidRPr="006B1C0A">
        <w:rPr>
          <w:b/>
          <w:sz w:val="24"/>
          <w:szCs w:val="24"/>
        </w:rPr>
        <w:t>E[</w:t>
      </w:r>
      <w:proofErr w:type="spellStart"/>
      <w:r w:rsidRPr="006B1C0A">
        <w:rPr>
          <w:b/>
          <w:i/>
          <w:sz w:val="24"/>
          <w:szCs w:val="24"/>
        </w:rPr>
        <w:t>r</w:t>
      </w:r>
      <w:r w:rsidRPr="006B1C0A">
        <w:rPr>
          <w:b/>
          <w:i/>
          <w:sz w:val="24"/>
          <w:szCs w:val="24"/>
          <w:vertAlign w:val="subscript"/>
        </w:rPr>
        <w:t>p</w:t>
      </w:r>
      <w:proofErr w:type="spellEnd"/>
      <w:r w:rsidRPr="006B1C0A">
        <w:rPr>
          <w:b/>
          <w:sz w:val="24"/>
          <w:szCs w:val="24"/>
        </w:rPr>
        <w:t>] = 40% so 5.4 + 2.1</w:t>
      </w:r>
      <w:r w:rsidRPr="006B1C0A">
        <w:rPr>
          <w:b/>
          <w:i/>
          <w:sz w:val="24"/>
          <w:szCs w:val="24"/>
        </w:rPr>
        <w:t>c</w:t>
      </w:r>
      <w:r w:rsidRPr="006B1C0A">
        <w:rPr>
          <w:b/>
          <w:sz w:val="24"/>
          <w:szCs w:val="24"/>
        </w:rPr>
        <w:t xml:space="preserve"> + 0.6</w:t>
      </w:r>
      <w:r w:rsidRPr="006B1C0A">
        <w:rPr>
          <w:b/>
          <w:i/>
          <w:sz w:val="24"/>
          <w:szCs w:val="24"/>
        </w:rPr>
        <w:t>t</w:t>
      </w:r>
      <w:r w:rsidRPr="006B1C0A">
        <w:rPr>
          <w:b/>
          <w:sz w:val="24"/>
          <w:szCs w:val="24"/>
        </w:rPr>
        <w:t xml:space="preserve"> = 40, and</w:t>
      </w:r>
    </w:p>
    <w:p w14:paraId="246549AC" w14:textId="77777777" w:rsidR="00917F28" w:rsidRPr="006B1C0A" w:rsidRDefault="00917F28" w:rsidP="00917F28">
      <w:pPr>
        <w:spacing w:line="300" w:lineRule="atLeast"/>
        <w:ind w:left="720"/>
        <w:rPr>
          <w:b/>
          <w:sz w:val="24"/>
          <w:szCs w:val="24"/>
        </w:rPr>
      </w:pPr>
      <w:r w:rsidRPr="006B1C0A">
        <w:rPr>
          <w:b/>
          <w:i/>
          <w:sz w:val="24"/>
          <w:szCs w:val="24"/>
        </w:rPr>
        <w:t>t =</w:t>
      </w:r>
      <w:r w:rsidRPr="006B1C0A">
        <w:rPr>
          <w:b/>
          <w:sz w:val="24"/>
          <w:szCs w:val="24"/>
        </w:rPr>
        <w:t xml:space="preserve"> (40 – 5.4 – 2.1</w:t>
      </w:r>
      <w:r w:rsidRPr="006B1C0A">
        <w:rPr>
          <w:b/>
          <w:i/>
          <w:sz w:val="24"/>
          <w:szCs w:val="24"/>
        </w:rPr>
        <w:t>c</w:t>
      </w:r>
      <w:r w:rsidRPr="006B1C0A">
        <w:rPr>
          <w:b/>
          <w:sz w:val="24"/>
          <w:szCs w:val="24"/>
        </w:rPr>
        <w:t>)/0.6 = 57.667 – 3.5</w:t>
      </w:r>
      <w:r w:rsidRPr="006B1C0A">
        <w:rPr>
          <w:b/>
          <w:i/>
          <w:sz w:val="24"/>
          <w:szCs w:val="24"/>
        </w:rPr>
        <w:t>c</w:t>
      </w:r>
      <w:r w:rsidRPr="006B1C0A">
        <w:rPr>
          <w:b/>
          <w:sz w:val="24"/>
          <w:szCs w:val="24"/>
        </w:rPr>
        <w:t>.</w:t>
      </w:r>
    </w:p>
    <w:p w14:paraId="5CC8173C" w14:textId="77777777" w:rsidR="00917F28" w:rsidRDefault="00917F28" w:rsidP="00917F28">
      <w:pPr>
        <w:spacing w:line="300" w:lineRule="atLeast"/>
        <w:rPr>
          <w:b/>
          <w:sz w:val="24"/>
          <w:szCs w:val="24"/>
        </w:rPr>
      </w:pPr>
      <w:r>
        <w:rPr>
          <w:b/>
          <w:sz w:val="24"/>
          <w:szCs w:val="24"/>
        </w:rPr>
        <w:t xml:space="preserve">Substituting for </w:t>
      </w:r>
      <w:r>
        <w:rPr>
          <w:b/>
          <w:i/>
          <w:sz w:val="24"/>
          <w:szCs w:val="24"/>
        </w:rPr>
        <w:t>t</w:t>
      </w:r>
      <w:r>
        <w:rPr>
          <w:b/>
          <w:sz w:val="24"/>
          <w:szCs w:val="24"/>
        </w:rPr>
        <w:t xml:space="preserve"> in the variance gives a variance (times 10000) of:</w:t>
      </w:r>
    </w:p>
    <w:p w14:paraId="03304B24" w14:textId="77777777" w:rsidR="00917F28" w:rsidRPr="000C4985" w:rsidRDefault="00917F28" w:rsidP="00917F28">
      <w:pPr>
        <w:spacing w:line="300" w:lineRule="atLeast"/>
        <w:ind w:left="720"/>
        <w:rPr>
          <w:b/>
          <w:sz w:val="24"/>
          <w:szCs w:val="24"/>
          <w:lang w:val="es-ES"/>
        </w:rPr>
      </w:pPr>
      <w:r w:rsidRPr="000C4985">
        <w:rPr>
          <w:b/>
          <w:sz w:val="24"/>
          <w:szCs w:val="24"/>
          <w:lang w:val="es-ES"/>
        </w:rPr>
        <w:t>Var[</w:t>
      </w:r>
      <w:proofErr w:type="spellStart"/>
      <w:r w:rsidRPr="000C4985">
        <w:rPr>
          <w:b/>
          <w:i/>
          <w:sz w:val="24"/>
          <w:szCs w:val="24"/>
          <w:lang w:val="es-ES"/>
        </w:rPr>
        <w:t>r</w:t>
      </w:r>
      <w:r w:rsidRPr="000C4985">
        <w:rPr>
          <w:b/>
          <w:i/>
          <w:sz w:val="24"/>
          <w:szCs w:val="24"/>
          <w:vertAlign w:val="subscript"/>
          <w:lang w:val="es-ES"/>
        </w:rPr>
        <w:t>p</w:t>
      </w:r>
      <w:proofErr w:type="spellEnd"/>
      <w:r w:rsidRPr="000C4985">
        <w:rPr>
          <w:b/>
          <w:sz w:val="24"/>
          <w:szCs w:val="24"/>
          <w:lang w:val="es-ES"/>
        </w:rPr>
        <w:t>] = 42.25</w:t>
      </w:r>
      <w:r w:rsidRPr="000C4985">
        <w:rPr>
          <w:b/>
          <w:i/>
          <w:sz w:val="24"/>
          <w:szCs w:val="24"/>
          <w:lang w:val="es-ES"/>
        </w:rPr>
        <w:t>c</w:t>
      </w:r>
      <w:r w:rsidRPr="000C4985">
        <w:rPr>
          <w:b/>
          <w:sz w:val="24"/>
          <w:szCs w:val="24"/>
          <w:vertAlign w:val="superscript"/>
          <w:lang w:val="es-ES"/>
        </w:rPr>
        <w:t>2</w:t>
      </w:r>
      <w:r w:rsidRPr="000C4985">
        <w:rPr>
          <w:b/>
          <w:sz w:val="24"/>
          <w:szCs w:val="24"/>
          <w:lang w:val="es-ES"/>
        </w:rPr>
        <w:t xml:space="preserve"> + 74.1</w:t>
      </w:r>
      <w:r w:rsidRPr="000C4985">
        <w:rPr>
          <w:b/>
          <w:i/>
          <w:sz w:val="24"/>
          <w:szCs w:val="24"/>
          <w:lang w:val="es-ES"/>
        </w:rPr>
        <w:t>c</w:t>
      </w:r>
      <w:r w:rsidRPr="000C4985">
        <w:rPr>
          <w:b/>
          <w:sz w:val="24"/>
          <w:szCs w:val="24"/>
          <w:lang w:val="es-ES"/>
        </w:rPr>
        <w:t>(57.667 – 3.5</w:t>
      </w:r>
      <w:r w:rsidRPr="000C4985">
        <w:rPr>
          <w:b/>
          <w:i/>
          <w:sz w:val="24"/>
          <w:szCs w:val="24"/>
          <w:lang w:val="es-ES"/>
        </w:rPr>
        <w:t>c</w:t>
      </w:r>
      <w:r w:rsidRPr="000C4985">
        <w:rPr>
          <w:b/>
          <w:sz w:val="24"/>
          <w:szCs w:val="24"/>
          <w:lang w:val="es-ES"/>
        </w:rPr>
        <w:t>) + 36(57.667 – 3.5</w:t>
      </w:r>
      <w:r w:rsidRPr="000C4985">
        <w:rPr>
          <w:b/>
          <w:i/>
          <w:sz w:val="24"/>
          <w:szCs w:val="24"/>
          <w:lang w:val="es-ES"/>
        </w:rPr>
        <w:t>c</w:t>
      </w:r>
      <w:r w:rsidRPr="000C4985">
        <w:rPr>
          <w:b/>
          <w:sz w:val="24"/>
          <w:szCs w:val="24"/>
          <w:lang w:val="es-ES"/>
        </w:rPr>
        <w:t>)</w:t>
      </w:r>
      <w:r w:rsidRPr="000C4985">
        <w:rPr>
          <w:b/>
          <w:sz w:val="24"/>
          <w:szCs w:val="24"/>
          <w:vertAlign w:val="superscript"/>
          <w:lang w:val="es-ES"/>
        </w:rPr>
        <w:t>2</w:t>
      </w:r>
      <w:r w:rsidRPr="000C4985">
        <w:rPr>
          <w:b/>
          <w:sz w:val="24"/>
          <w:szCs w:val="24"/>
          <w:lang w:val="es-ES"/>
        </w:rPr>
        <w:t xml:space="preserve"> </w:t>
      </w:r>
    </w:p>
    <w:p w14:paraId="6EBF5E98" w14:textId="77777777" w:rsidR="00917F28" w:rsidRPr="000C4985" w:rsidRDefault="00917F28" w:rsidP="00917F28">
      <w:pPr>
        <w:spacing w:line="300" w:lineRule="atLeast"/>
        <w:ind w:left="720"/>
        <w:rPr>
          <w:b/>
          <w:sz w:val="24"/>
          <w:szCs w:val="24"/>
          <w:lang w:val="es-ES"/>
        </w:rPr>
      </w:pPr>
      <w:r w:rsidRPr="000C4985">
        <w:rPr>
          <w:b/>
          <w:sz w:val="24"/>
          <w:szCs w:val="24"/>
          <w:lang w:val="es-ES"/>
        </w:rPr>
        <w:t>= 223.9</w:t>
      </w:r>
      <w:r w:rsidRPr="000C4985">
        <w:rPr>
          <w:b/>
          <w:i/>
          <w:sz w:val="24"/>
          <w:szCs w:val="24"/>
          <w:lang w:val="es-ES"/>
        </w:rPr>
        <w:t>c</w:t>
      </w:r>
      <w:r w:rsidRPr="000C4985">
        <w:rPr>
          <w:b/>
          <w:sz w:val="24"/>
          <w:szCs w:val="24"/>
          <w:vertAlign w:val="superscript"/>
          <w:lang w:val="es-ES"/>
        </w:rPr>
        <w:t>2</w:t>
      </w:r>
      <w:r w:rsidRPr="000C4985">
        <w:rPr>
          <w:b/>
          <w:sz w:val="24"/>
          <w:szCs w:val="24"/>
          <w:lang w:val="es-ES"/>
        </w:rPr>
        <w:t xml:space="preserve"> – 10259</w:t>
      </w:r>
      <w:r w:rsidRPr="000C4985">
        <w:rPr>
          <w:b/>
          <w:i/>
          <w:sz w:val="24"/>
          <w:szCs w:val="24"/>
          <w:lang w:val="es-ES"/>
        </w:rPr>
        <w:t>c</w:t>
      </w:r>
      <w:r w:rsidRPr="000C4985">
        <w:rPr>
          <w:b/>
          <w:sz w:val="24"/>
          <w:szCs w:val="24"/>
          <w:lang w:val="es-ES"/>
        </w:rPr>
        <w:t xml:space="preserve"> +119720</w:t>
      </w:r>
    </w:p>
    <w:p w14:paraId="3E9CE81B" w14:textId="77777777" w:rsidR="00917F28" w:rsidRDefault="00917F28" w:rsidP="00917F28">
      <w:pPr>
        <w:spacing w:line="300" w:lineRule="atLeast"/>
        <w:rPr>
          <w:b/>
          <w:sz w:val="24"/>
          <w:szCs w:val="24"/>
        </w:rPr>
      </w:pPr>
      <w:r>
        <w:rPr>
          <w:b/>
          <w:sz w:val="24"/>
          <w:szCs w:val="24"/>
        </w:rPr>
        <w:t xml:space="preserve">Differentiating, this is minimised when </w:t>
      </w:r>
      <w:r>
        <w:rPr>
          <w:b/>
          <w:i/>
          <w:sz w:val="24"/>
          <w:szCs w:val="24"/>
        </w:rPr>
        <w:t>c</w:t>
      </w:r>
      <w:r>
        <w:rPr>
          <w:b/>
          <w:sz w:val="24"/>
          <w:szCs w:val="24"/>
        </w:rPr>
        <w:t xml:space="preserve"> = 10259/(2x223.9) = 22.91.</w:t>
      </w:r>
    </w:p>
    <w:p w14:paraId="24811A2B" w14:textId="77777777" w:rsidR="00917F28" w:rsidRPr="00AB4EEA" w:rsidRDefault="00917F28" w:rsidP="00917F28">
      <w:pPr>
        <w:spacing w:line="300" w:lineRule="atLeast"/>
        <w:rPr>
          <w:b/>
          <w:sz w:val="24"/>
          <w:szCs w:val="24"/>
        </w:rPr>
      </w:pPr>
      <w:proofErr w:type="gramStart"/>
      <w:r>
        <w:rPr>
          <w:b/>
          <w:sz w:val="24"/>
          <w:szCs w:val="24"/>
        </w:rPr>
        <w:t>So</w:t>
      </w:r>
      <w:proofErr w:type="gramEnd"/>
      <w:r>
        <w:rPr>
          <w:b/>
          <w:sz w:val="24"/>
          <w:szCs w:val="24"/>
        </w:rPr>
        <w:t xml:space="preserve"> </w:t>
      </w:r>
      <w:r>
        <w:rPr>
          <w:b/>
          <w:i/>
          <w:sz w:val="24"/>
          <w:szCs w:val="24"/>
        </w:rPr>
        <w:t>t</w:t>
      </w:r>
      <w:r>
        <w:rPr>
          <w:b/>
          <w:sz w:val="24"/>
          <w:szCs w:val="24"/>
        </w:rPr>
        <w:t xml:space="preserve"> = 57.667 – 3.5</w:t>
      </w:r>
      <w:r>
        <w:rPr>
          <w:b/>
          <w:i/>
          <w:sz w:val="24"/>
          <w:szCs w:val="24"/>
        </w:rPr>
        <w:t>c</w:t>
      </w:r>
      <w:r>
        <w:rPr>
          <w:b/>
          <w:sz w:val="24"/>
          <w:szCs w:val="24"/>
        </w:rPr>
        <w:t xml:space="preserve"> = -22.52. </w:t>
      </w:r>
      <w:proofErr w:type="gramStart"/>
      <w:r>
        <w:rPr>
          <w:b/>
          <w:sz w:val="24"/>
          <w:szCs w:val="24"/>
        </w:rPr>
        <w:t>Thus</w:t>
      </w:r>
      <w:proofErr w:type="gramEnd"/>
      <w:r>
        <w:rPr>
          <w:b/>
          <w:sz w:val="24"/>
          <w:szCs w:val="24"/>
        </w:rPr>
        <w:t xml:space="preserve"> for every £1m of initial capital, the portfolio goes long £22.9m of the corporate bond, short £22.5m of the matching ten year bond, and puts £0.6m in cash.</w:t>
      </w:r>
    </w:p>
    <w:p w14:paraId="07D5AC9B" w14:textId="77777777" w:rsidR="00917F28" w:rsidRDefault="00917F28" w:rsidP="00917F28">
      <w:pPr>
        <w:spacing w:line="300" w:lineRule="atLeast"/>
        <w:ind w:left="284" w:hanging="284"/>
        <w:rPr>
          <w:sz w:val="24"/>
          <w:szCs w:val="24"/>
        </w:rPr>
      </w:pPr>
    </w:p>
    <w:p w14:paraId="2B4B66A4" w14:textId="77777777" w:rsidR="00917F28" w:rsidRPr="0007038F" w:rsidRDefault="00917F28" w:rsidP="00917F28">
      <w:pPr>
        <w:pStyle w:val="a5"/>
        <w:numPr>
          <w:ilvl w:val="0"/>
          <w:numId w:val="28"/>
        </w:numPr>
        <w:spacing w:line="300" w:lineRule="atLeast"/>
        <w:rPr>
          <w:sz w:val="24"/>
          <w:szCs w:val="24"/>
        </w:rPr>
      </w:pPr>
      <w:r w:rsidRPr="0007038F">
        <w:rPr>
          <w:sz w:val="24"/>
          <w:szCs w:val="24"/>
        </w:rPr>
        <w:t>What is the volatility of the portfolio?</w:t>
      </w:r>
    </w:p>
    <w:p w14:paraId="06AD5B20" w14:textId="77777777" w:rsidR="00917F28" w:rsidRPr="0007038F" w:rsidRDefault="00917F28" w:rsidP="00917F28">
      <w:pPr>
        <w:pStyle w:val="a5"/>
        <w:spacing w:line="300" w:lineRule="atLeast"/>
        <w:ind w:left="375"/>
        <w:rPr>
          <w:b/>
          <w:sz w:val="24"/>
          <w:szCs w:val="24"/>
        </w:rPr>
      </w:pPr>
      <w:r w:rsidRPr="0007038F">
        <w:rPr>
          <w:b/>
          <w:sz w:val="24"/>
          <w:szCs w:val="24"/>
        </w:rPr>
        <w:lastRenderedPageBreak/>
        <w:t xml:space="preserve">Substituting back, this gives </w:t>
      </w:r>
    </w:p>
    <w:p w14:paraId="438DA148" w14:textId="77777777" w:rsidR="00917F28" w:rsidRPr="0007038F" w:rsidRDefault="00917F28" w:rsidP="00917F28">
      <w:pPr>
        <w:pStyle w:val="a5"/>
        <w:spacing w:line="300" w:lineRule="atLeast"/>
        <w:ind w:left="375"/>
        <w:rPr>
          <w:b/>
          <w:sz w:val="24"/>
          <w:szCs w:val="24"/>
        </w:rPr>
      </w:pPr>
      <w:r w:rsidRPr="0007038F">
        <w:rPr>
          <w:b/>
          <w:sz w:val="24"/>
          <w:szCs w:val="24"/>
        </w:rPr>
        <w:t>Var[</w:t>
      </w:r>
      <w:proofErr w:type="spellStart"/>
      <w:r w:rsidRPr="0007038F">
        <w:rPr>
          <w:b/>
          <w:i/>
          <w:sz w:val="24"/>
          <w:szCs w:val="24"/>
        </w:rPr>
        <w:t>r</w:t>
      </w:r>
      <w:r w:rsidRPr="0007038F">
        <w:rPr>
          <w:b/>
          <w:i/>
          <w:sz w:val="24"/>
          <w:szCs w:val="24"/>
          <w:vertAlign w:val="subscript"/>
        </w:rPr>
        <w:t>p</w:t>
      </w:r>
      <w:proofErr w:type="spellEnd"/>
      <w:r w:rsidRPr="0007038F">
        <w:rPr>
          <w:b/>
          <w:sz w:val="24"/>
          <w:szCs w:val="24"/>
        </w:rPr>
        <w:t>] =223.9(22.91)</w:t>
      </w:r>
      <w:r w:rsidRPr="0007038F">
        <w:rPr>
          <w:b/>
          <w:sz w:val="24"/>
          <w:szCs w:val="24"/>
          <w:vertAlign w:val="superscript"/>
        </w:rPr>
        <w:t>2</w:t>
      </w:r>
      <w:r w:rsidRPr="0007038F">
        <w:rPr>
          <w:b/>
          <w:sz w:val="24"/>
          <w:szCs w:val="24"/>
        </w:rPr>
        <w:t xml:space="preserve"> – 10259(22.91) +119720%% </w:t>
      </w:r>
    </w:p>
    <w:p w14:paraId="2B712C03" w14:textId="77777777" w:rsidR="00917F28" w:rsidRPr="0007038F" w:rsidRDefault="00917F28" w:rsidP="00917F28">
      <w:pPr>
        <w:pStyle w:val="a5"/>
        <w:spacing w:line="300" w:lineRule="atLeast"/>
        <w:ind w:left="375"/>
        <w:rPr>
          <w:b/>
          <w:sz w:val="24"/>
          <w:szCs w:val="24"/>
        </w:rPr>
      </w:pPr>
      <w:r w:rsidRPr="0007038F">
        <w:rPr>
          <w:b/>
          <w:sz w:val="24"/>
          <w:szCs w:val="24"/>
        </w:rPr>
        <w:t xml:space="preserve">so the standard </w:t>
      </w:r>
      <w:proofErr w:type="gramStart"/>
      <w:r w:rsidRPr="0007038F">
        <w:rPr>
          <w:b/>
          <w:sz w:val="24"/>
          <w:szCs w:val="24"/>
        </w:rPr>
        <w:t>deviation  -</w:t>
      </w:r>
      <w:proofErr w:type="gramEnd"/>
      <w:r w:rsidRPr="0007038F">
        <w:rPr>
          <w:b/>
          <w:sz w:val="24"/>
          <w:szCs w:val="24"/>
        </w:rPr>
        <w:t xml:space="preserve"> the square root of the variance – is 47%. That means that the standard deviation of annual gains or losses relative to the mean is £0.47m on every £1m of capital invested.</w:t>
      </w:r>
    </w:p>
    <w:p w14:paraId="2FB2354D" w14:textId="77777777" w:rsidR="00917F28" w:rsidRPr="0007038F" w:rsidRDefault="00917F28" w:rsidP="00917F28">
      <w:pPr>
        <w:pStyle w:val="a5"/>
        <w:spacing w:line="300" w:lineRule="atLeast"/>
        <w:ind w:left="375"/>
        <w:rPr>
          <w:sz w:val="24"/>
          <w:szCs w:val="24"/>
        </w:rPr>
      </w:pPr>
    </w:p>
    <w:p w14:paraId="62B38604" w14:textId="77777777" w:rsidR="00917F28" w:rsidRDefault="00917F28" w:rsidP="00917F28">
      <w:pPr>
        <w:numPr>
          <w:ilvl w:val="0"/>
          <w:numId w:val="28"/>
        </w:numPr>
        <w:spacing w:line="300" w:lineRule="atLeast"/>
        <w:rPr>
          <w:sz w:val="24"/>
          <w:szCs w:val="24"/>
        </w:rPr>
      </w:pPr>
      <w:r>
        <w:rPr>
          <w:sz w:val="24"/>
          <w:szCs w:val="24"/>
        </w:rPr>
        <w:t>You set up the strategy. The correlation turns out to be 0.8 rather than the 0.95 you had assumed. What would you expect the volatility of the portfolio to be?</w:t>
      </w:r>
    </w:p>
    <w:p w14:paraId="1C292664" w14:textId="77777777" w:rsidR="00917F28" w:rsidRPr="0007038F" w:rsidRDefault="00917F28" w:rsidP="00917F28">
      <w:pPr>
        <w:pStyle w:val="a5"/>
        <w:spacing w:line="300" w:lineRule="atLeast"/>
        <w:ind w:left="375"/>
        <w:rPr>
          <w:b/>
          <w:sz w:val="24"/>
          <w:szCs w:val="24"/>
        </w:rPr>
      </w:pPr>
      <w:r w:rsidRPr="0007038F">
        <w:rPr>
          <w:b/>
          <w:sz w:val="24"/>
          <w:szCs w:val="24"/>
        </w:rPr>
        <w:t>Substituting into the formula for volatility gives a portfolio volatility of 90.8%.</w:t>
      </w:r>
    </w:p>
    <w:p w14:paraId="71B2831F" w14:textId="77777777" w:rsidR="00917F28" w:rsidRPr="0007038F" w:rsidRDefault="00917F28" w:rsidP="00917F28">
      <w:pPr>
        <w:pStyle w:val="a5"/>
        <w:spacing w:line="300" w:lineRule="atLeast"/>
        <w:ind w:left="375"/>
        <w:rPr>
          <w:b/>
        </w:rPr>
      </w:pPr>
      <w:r w:rsidRPr="0007038F">
        <w:rPr>
          <w:b/>
        </w:rPr>
        <w:t xml:space="preserve">This example is crudely modelled on one of the strategies followed by LTCM. </w:t>
      </w:r>
    </w:p>
    <w:p w14:paraId="685D3053" w14:textId="77777777" w:rsidR="00FB675E" w:rsidRDefault="00FB675E" w:rsidP="00FB675E">
      <w:pPr>
        <w:spacing w:after="0" w:line="240" w:lineRule="auto"/>
        <w:ind w:left="360"/>
      </w:pPr>
    </w:p>
    <w:p w14:paraId="5A13C7ED" w14:textId="77777777" w:rsidR="00FB675E" w:rsidRDefault="00FB675E" w:rsidP="00FB675E">
      <w:pPr>
        <w:spacing w:line="300" w:lineRule="atLeast"/>
        <w:ind w:left="284" w:hanging="284"/>
        <w:rPr>
          <w:sz w:val="24"/>
          <w:szCs w:val="24"/>
        </w:rPr>
      </w:pPr>
      <w:r w:rsidRPr="00917F28">
        <w:rPr>
          <w:b/>
          <w:sz w:val="24"/>
          <w:szCs w:val="24"/>
        </w:rPr>
        <w:t xml:space="preserve">Question </w:t>
      </w:r>
      <w:r>
        <w:rPr>
          <w:b/>
          <w:sz w:val="24"/>
          <w:szCs w:val="24"/>
        </w:rPr>
        <w:t>5</w:t>
      </w:r>
      <w:r w:rsidRPr="00917F28">
        <w:rPr>
          <w:b/>
          <w:sz w:val="24"/>
          <w:szCs w:val="24"/>
        </w:rPr>
        <w:t>.</w:t>
      </w:r>
    </w:p>
    <w:p w14:paraId="43E9BEE4" w14:textId="77777777" w:rsidR="00FB675E" w:rsidRDefault="00FB675E" w:rsidP="00FB675E">
      <w:pPr>
        <w:spacing w:after="0" w:line="240" w:lineRule="auto"/>
        <w:ind w:left="360"/>
      </w:pPr>
    </w:p>
    <w:p w14:paraId="794D0AF7" w14:textId="77777777" w:rsidR="00FB675E" w:rsidRPr="00FB675E" w:rsidRDefault="00FB675E" w:rsidP="00FB675E">
      <w:pPr>
        <w:spacing w:after="0" w:line="240" w:lineRule="auto"/>
        <w:jc w:val="both"/>
        <w:rPr>
          <w:b/>
          <w:sz w:val="24"/>
          <w:szCs w:val="24"/>
        </w:rPr>
      </w:pPr>
      <w:r w:rsidRPr="00FB675E">
        <w:rPr>
          <w:sz w:val="24"/>
          <w:szCs w:val="24"/>
        </w:rPr>
        <w:t>Assume that the stock market returns have the market index as a common factor, and that all stocks in the economy have a beta of 1 on the market index. Firm-specific returns all have a standard deviation of 30%.  Suppose that an analyst studies 20 stocks, and finds that one-half have an alpha of 2%, and the other half an alpha of -2%. Suppose the analyst buys $1 million of an equally weighted portfolio of positive alphas, and shorts $1 million of an equally weighted portfolio of the negative alpha stocks.</w:t>
      </w:r>
    </w:p>
    <w:p w14:paraId="1BAA9347" w14:textId="77777777" w:rsidR="00FB675E" w:rsidRPr="00FB675E" w:rsidRDefault="00FB675E" w:rsidP="00FB675E">
      <w:pPr>
        <w:numPr>
          <w:ilvl w:val="1"/>
          <w:numId w:val="29"/>
        </w:numPr>
        <w:spacing w:after="0" w:line="240" w:lineRule="auto"/>
        <w:rPr>
          <w:b/>
          <w:sz w:val="24"/>
          <w:szCs w:val="24"/>
        </w:rPr>
      </w:pPr>
      <w:r w:rsidRPr="00FB675E">
        <w:rPr>
          <w:sz w:val="24"/>
          <w:szCs w:val="24"/>
        </w:rPr>
        <w:t>What is the expected profit (in dollars) and standard deviation of the analyst’s profit?</w:t>
      </w:r>
    </w:p>
    <w:p w14:paraId="79E0D3D8" w14:textId="77777777" w:rsidR="00FB675E" w:rsidRPr="00FB675E" w:rsidRDefault="00FB675E" w:rsidP="00FB675E">
      <w:pPr>
        <w:ind w:left="720"/>
        <w:rPr>
          <w:b/>
          <w:sz w:val="24"/>
          <w:szCs w:val="24"/>
        </w:rPr>
      </w:pPr>
    </w:p>
    <w:p w14:paraId="412C097E" w14:textId="77777777" w:rsidR="00FB675E" w:rsidRPr="00FB675E" w:rsidRDefault="00FB675E" w:rsidP="00FB675E">
      <w:pPr>
        <w:ind w:left="360"/>
        <w:rPr>
          <w:b/>
          <w:sz w:val="24"/>
          <w:szCs w:val="24"/>
        </w:rPr>
      </w:pPr>
      <w:r w:rsidRPr="00FB675E">
        <w:rPr>
          <w:b/>
          <w:sz w:val="24"/>
          <w:szCs w:val="24"/>
        </w:rPr>
        <w:t xml:space="preserve">Shorting an equally-weighted portfolio of the ten negative-alpha stocks and investing the proceeds in an equally-weighted portfolio of the ten positive-alpha stocks eliminates the market exposure and creates a zero-investment portfolio.  Denoting the systematic market factor as </w:t>
      </w:r>
      <w:proofErr w:type="gramStart"/>
      <w:r w:rsidRPr="00FB675E">
        <w:rPr>
          <w:b/>
          <w:sz w:val="24"/>
          <w:szCs w:val="24"/>
        </w:rPr>
        <w:t>RM ,</w:t>
      </w:r>
      <w:proofErr w:type="gramEnd"/>
      <w:r w:rsidRPr="00FB675E">
        <w:rPr>
          <w:b/>
          <w:sz w:val="24"/>
          <w:szCs w:val="24"/>
        </w:rPr>
        <w:t xml:space="preserve"> the expected dollar return is (noting that the expectation of non-systematic risk, e, is zero):</w:t>
      </w:r>
    </w:p>
    <w:p w14:paraId="517502B6" w14:textId="77777777" w:rsidR="00FB675E" w:rsidRPr="00FB675E" w:rsidRDefault="00FB675E" w:rsidP="00FB675E">
      <w:pPr>
        <w:ind w:left="360"/>
        <w:rPr>
          <w:b/>
          <w:sz w:val="24"/>
          <w:szCs w:val="24"/>
        </w:rPr>
      </w:pPr>
      <w:r w:rsidRPr="00FB675E">
        <w:rPr>
          <w:b/>
          <w:sz w:val="24"/>
          <w:szCs w:val="24"/>
        </w:rPr>
        <w:t xml:space="preserve">$1,000,000 × [0.02 + (1.0 × </w:t>
      </w:r>
      <w:proofErr w:type="gramStart"/>
      <w:r w:rsidRPr="00FB675E">
        <w:rPr>
          <w:b/>
          <w:sz w:val="24"/>
          <w:szCs w:val="24"/>
        </w:rPr>
        <w:t>RM )</w:t>
      </w:r>
      <w:proofErr w:type="gramEnd"/>
      <w:r w:rsidRPr="00FB675E">
        <w:rPr>
          <w:b/>
          <w:sz w:val="24"/>
          <w:szCs w:val="24"/>
        </w:rPr>
        <w:t>] - $1,000,000 × [(–0.02) + (1.0 × RM )]</w:t>
      </w:r>
    </w:p>
    <w:p w14:paraId="10F5D517" w14:textId="77777777" w:rsidR="00FB675E" w:rsidRPr="00FB675E" w:rsidRDefault="00FB675E" w:rsidP="00FB675E">
      <w:pPr>
        <w:ind w:left="360"/>
        <w:rPr>
          <w:b/>
          <w:sz w:val="24"/>
          <w:szCs w:val="24"/>
        </w:rPr>
      </w:pPr>
      <w:r w:rsidRPr="00FB675E">
        <w:rPr>
          <w:b/>
          <w:sz w:val="24"/>
          <w:szCs w:val="24"/>
        </w:rPr>
        <w:t>= $1,000,000 × 0.04 = $40,000</w:t>
      </w:r>
    </w:p>
    <w:p w14:paraId="41FC8615" w14:textId="77777777" w:rsidR="00FB675E" w:rsidRPr="00FB675E" w:rsidRDefault="00FB675E" w:rsidP="00FB675E">
      <w:pPr>
        <w:ind w:left="360"/>
        <w:rPr>
          <w:b/>
          <w:sz w:val="24"/>
          <w:szCs w:val="24"/>
        </w:rPr>
      </w:pPr>
      <w:r w:rsidRPr="00FB675E">
        <w:rPr>
          <w:b/>
          <w:sz w:val="24"/>
          <w:szCs w:val="24"/>
        </w:rPr>
        <w:t>The sensitivity of the payoff of this portfolio to the market factor is zero because the exposures of the positive alpha and negative alpha stocks cancel out.  Thus, the systematic component of total risk is also zero.  The variance of the analyst’s profit is not zero, however, since this portfolio is not well diversified.</w:t>
      </w:r>
    </w:p>
    <w:p w14:paraId="0FB0AC59" w14:textId="77777777" w:rsidR="00FB675E" w:rsidRPr="00FB675E" w:rsidRDefault="00FB675E" w:rsidP="00FB675E">
      <w:pPr>
        <w:ind w:left="360"/>
        <w:rPr>
          <w:b/>
          <w:sz w:val="24"/>
          <w:szCs w:val="24"/>
        </w:rPr>
      </w:pPr>
      <w:r w:rsidRPr="00FB675E">
        <w:rPr>
          <w:b/>
          <w:sz w:val="24"/>
          <w:szCs w:val="24"/>
        </w:rPr>
        <w:t>For n = 20 stocks (i.e., long 10 stocks and short 10 stocks) the investor will have a $100,000 position (either long or short) in each stock.  Net market exposure is zero, but firm-specific risk has not been fully diversified.  The variance of dollar returns from the positions in the 20 stocks is:</w:t>
      </w:r>
    </w:p>
    <w:p w14:paraId="07D08836" w14:textId="77777777" w:rsidR="00FB675E" w:rsidRPr="00FB675E" w:rsidRDefault="00FB675E" w:rsidP="00FB675E">
      <w:pPr>
        <w:ind w:left="360"/>
        <w:rPr>
          <w:b/>
          <w:sz w:val="24"/>
          <w:szCs w:val="24"/>
        </w:rPr>
      </w:pPr>
      <w:r w:rsidRPr="00FB675E">
        <w:rPr>
          <w:b/>
          <w:sz w:val="24"/>
          <w:szCs w:val="24"/>
        </w:rPr>
        <w:lastRenderedPageBreak/>
        <w:t>20 × [(100,000 × 0.30)</w:t>
      </w:r>
      <w:r w:rsidRPr="00FB675E">
        <w:rPr>
          <w:b/>
          <w:sz w:val="24"/>
          <w:szCs w:val="24"/>
          <w:vertAlign w:val="superscript"/>
        </w:rPr>
        <w:t>2</w:t>
      </w:r>
      <w:r w:rsidRPr="00FB675E">
        <w:rPr>
          <w:b/>
          <w:sz w:val="24"/>
          <w:szCs w:val="24"/>
        </w:rPr>
        <w:t>] = 18,000,000,000</w:t>
      </w:r>
    </w:p>
    <w:p w14:paraId="660623BB" w14:textId="77777777" w:rsidR="00FB675E" w:rsidRPr="00FB675E" w:rsidRDefault="00FB675E" w:rsidP="00FB675E">
      <w:pPr>
        <w:ind w:left="360"/>
        <w:rPr>
          <w:b/>
          <w:sz w:val="24"/>
          <w:szCs w:val="24"/>
        </w:rPr>
      </w:pPr>
      <w:r w:rsidRPr="00FB675E">
        <w:rPr>
          <w:b/>
          <w:sz w:val="24"/>
          <w:szCs w:val="24"/>
        </w:rPr>
        <w:t>The standard deviation of dollar returns is $134,164.</w:t>
      </w:r>
    </w:p>
    <w:p w14:paraId="1495ABE8" w14:textId="77777777" w:rsidR="00FB675E" w:rsidRPr="00FB675E" w:rsidRDefault="00FB675E" w:rsidP="00FB675E">
      <w:pPr>
        <w:numPr>
          <w:ilvl w:val="0"/>
          <w:numId w:val="30"/>
        </w:numPr>
        <w:spacing w:after="0" w:line="240" w:lineRule="auto"/>
        <w:rPr>
          <w:b/>
          <w:sz w:val="24"/>
          <w:szCs w:val="24"/>
        </w:rPr>
      </w:pPr>
      <w:r w:rsidRPr="00FB675E">
        <w:rPr>
          <w:sz w:val="24"/>
          <w:szCs w:val="24"/>
        </w:rPr>
        <w:t>How does your answer change if the analyst examines 50 stocks instead of 20 stocks? 100 stocks?</w:t>
      </w:r>
    </w:p>
    <w:p w14:paraId="4CF09722" w14:textId="77777777" w:rsidR="00FB675E" w:rsidRPr="00FB675E" w:rsidRDefault="00FB675E" w:rsidP="00FB675E">
      <w:pPr>
        <w:ind w:left="360"/>
        <w:rPr>
          <w:b/>
          <w:sz w:val="24"/>
          <w:szCs w:val="24"/>
        </w:rPr>
      </w:pPr>
    </w:p>
    <w:p w14:paraId="44E2C180" w14:textId="77777777" w:rsidR="00FB675E" w:rsidRPr="00FB675E" w:rsidRDefault="00FB675E" w:rsidP="00FB675E">
      <w:pPr>
        <w:ind w:left="360"/>
        <w:rPr>
          <w:b/>
          <w:sz w:val="24"/>
          <w:szCs w:val="24"/>
        </w:rPr>
      </w:pPr>
      <w:r w:rsidRPr="00FB675E">
        <w:rPr>
          <w:b/>
          <w:sz w:val="24"/>
          <w:szCs w:val="24"/>
        </w:rPr>
        <w:t>If n = 50 stocks (25 stocks long and 25 stocks short), the investor will have a $40,000 position in each stock, and the variance of dollar returns is:</w:t>
      </w:r>
    </w:p>
    <w:p w14:paraId="4A2636A6" w14:textId="77777777" w:rsidR="00FB675E" w:rsidRPr="00FB675E" w:rsidRDefault="00FB675E" w:rsidP="00FB675E">
      <w:pPr>
        <w:ind w:left="360"/>
        <w:rPr>
          <w:b/>
          <w:sz w:val="24"/>
          <w:szCs w:val="24"/>
        </w:rPr>
      </w:pPr>
      <w:r w:rsidRPr="00FB675E">
        <w:rPr>
          <w:b/>
          <w:sz w:val="24"/>
          <w:szCs w:val="24"/>
        </w:rPr>
        <w:t>50 × [(40,000 × 0.30)2] = 7,200,000,000</w:t>
      </w:r>
    </w:p>
    <w:p w14:paraId="370B4E67" w14:textId="77777777" w:rsidR="00FB675E" w:rsidRPr="00FB675E" w:rsidRDefault="00FB675E" w:rsidP="00FB675E">
      <w:pPr>
        <w:ind w:left="360"/>
        <w:rPr>
          <w:b/>
          <w:sz w:val="24"/>
          <w:szCs w:val="24"/>
        </w:rPr>
      </w:pPr>
      <w:r w:rsidRPr="00FB675E">
        <w:rPr>
          <w:b/>
          <w:sz w:val="24"/>
          <w:szCs w:val="24"/>
        </w:rPr>
        <w:t>The standard deviation of dollar returns is $84,853.</w:t>
      </w:r>
    </w:p>
    <w:p w14:paraId="47CBA5ED" w14:textId="77777777" w:rsidR="00FB675E" w:rsidRPr="00FB675E" w:rsidRDefault="00FB675E" w:rsidP="00FB675E">
      <w:pPr>
        <w:ind w:left="360"/>
        <w:rPr>
          <w:b/>
          <w:sz w:val="24"/>
          <w:szCs w:val="24"/>
        </w:rPr>
      </w:pPr>
      <w:r w:rsidRPr="00FB675E">
        <w:rPr>
          <w:b/>
          <w:sz w:val="24"/>
          <w:szCs w:val="24"/>
        </w:rPr>
        <w:t>Similarly, if n = 100 stocks (50 stocks long and 50 stocks short), the investor will have a $20,000 position in each stock, and the variance of dollar returns is:</w:t>
      </w:r>
    </w:p>
    <w:p w14:paraId="6AA94D23" w14:textId="77777777" w:rsidR="00FB675E" w:rsidRPr="00FB675E" w:rsidRDefault="00FB675E" w:rsidP="00FB675E">
      <w:pPr>
        <w:ind w:left="360"/>
        <w:rPr>
          <w:b/>
          <w:sz w:val="24"/>
          <w:szCs w:val="24"/>
        </w:rPr>
      </w:pPr>
      <w:r w:rsidRPr="00FB675E">
        <w:rPr>
          <w:b/>
          <w:sz w:val="24"/>
          <w:szCs w:val="24"/>
        </w:rPr>
        <w:t>100 × [(20,000 × 0.30)2] = 3,600,000,000</w:t>
      </w:r>
    </w:p>
    <w:p w14:paraId="7C0121F6" w14:textId="77777777" w:rsidR="00FB675E" w:rsidRPr="00FB675E" w:rsidRDefault="00FB675E" w:rsidP="00FB675E">
      <w:pPr>
        <w:ind w:left="360"/>
        <w:rPr>
          <w:b/>
          <w:sz w:val="24"/>
          <w:szCs w:val="24"/>
        </w:rPr>
      </w:pPr>
      <w:r w:rsidRPr="00FB675E">
        <w:rPr>
          <w:b/>
          <w:sz w:val="24"/>
          <w:szCs w:val="24"/>
        </w:rPr>
        <w:t>The standard deviation of dollar returns is $60,000.</w:t>
      </w:r>
    </w:p>
    <w:p w14:paraId="5280C9EF" w14:textId="77777777" w:rsidR="00FB675E" w:rsidRPr="00FB675E" w:rsidRDefault="00FB675E" w:rsidP="00FB675E">
      <w:pPr>
        <w:ind w:left="360"/>
        <w:rPr>
          <w:b/>
          <w:sz w:val="24"/>
          <w:szCs w:val="24"/>
        </w:rPr>
      </w:pPr>
      <w:r w:rsidRPr="00FB675E">
        <w:rPr>
          <w:b/>
          <w:sz w:val="24"/>
          <w:szCs w:val="24"/>
        </w:rPr>
        <w:t>Notice that, when the number of stocks increases by a factor of 5 (i.e., from 20 to 100), standard deviation decreases by a factor of = 2.23607 (from $134,164 to $60,000).</w:t>
      </w:r>
    </w:p>
    <w:p w14:paraId="31CFC17F" w14:textId="77777777" w:rsidR="00FB675E" w:rsidRPr="00FB675E" w:rsidRDefault="00FB675E" w:rsidP="00FB675E">
      <w:pPr>
        <w:ind w:left="360"/>
        <w:rPr>
          <w:b/>
          <w:sz w:val="24"/>
          <w:szCs w:val="24"/>
        </w:rPr>
      </w:pPr>
    </w:p>
    <w:p w14:paraId="0A3EFFA7" w14:textId="77777777" w:rsidR="00A663AE" w:rsidRPr="00FB675E" w:rsidRDefault="00A663AE" w:rsidP="00A663AE">
      <w:pPr>
        <w:tabs>
          <w:tab w:val="center" w:pos="4860"/>
          <w:tab w:val="right" w:pos="9000"/>
        </w:tabs>
        <w:spacing w:after="240" w:line="300" w:lineRule="atLeast"/>
        <w:jc w:val="both"/>
        <w:rPr>
          <w:b/>
          <w:sz w:val="24"/>
          <w:szCs w:val="24"/>
        </w:rPr>
      </w:pPr>
    </w:p>
    <w:sectPr w:rsidR="00A663AE" w:rsidRPr="00FB675E" w:rsidSect="00B75AB0">
      <w:pgSz w:w="11909" w:h="16834" w:code="9"/>
      <w:pgMar w:top="1440" w:right="1440" w:bottom="1440" w:left="1440" w:header="720" w:footer="864" w:gutter="0"/>
      <w:paperSrc w:first="1" w:other="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BD02FB0"/>
    <w:multiLevelType w:val="hybridMultilevel"/>
    <w:tmpl w:val="72E2DF2C"/>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21C259FC"/>
    <w:multiLevelType w:val="hybridMultilevel"/>
    <w:tmpl w:val="A490B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B77E7"/>
    <w:multiLevelType w:val="multilevel"/>
    <w:tmpl w:val="D43ED7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3662F9E"/>
    <w:multiLevelType w:val="hybridMultilevel"/>
    <w:tmpl w:val="F90C0B0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C3A6CD4"/>
    <w:multiLevelType w:val="hybridMultilevel"/>
    <w:tmpl w:val="8C4CCF3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1068F0"/>
    <w:multiLevelType w:val="hybridMultilevel"/>
    <w:tmpl w:val="391E9A5C"/>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9" w15:restartNumberingAfterBreak="0">
    <w:nsid w:val="31B522CC"/>
    <w:multiLevelType w:val="hybridMultilevel"/>
    <w:tmpl w:val="5D08726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0" w15:restartNumberingAfterBreak="0">
    <w:nsid w:val="32F76051"/>
    <w:multiLevelType w:val="singleLevel"/>
    <w:tmpl w:val="7E60AD2C"/>
    <w:lvl w:ilvl="0">
      <w:start w:val="1"/>
      <w:numFmt w:val="lowerLetter"/>
      <w:lvlText w:val="(%1)"/>
      <w:legacy w:legacy="1" w:legacySpace="0" w:legacyIndent="432"/>
      <w:lvlJc w:val="left"/>
      <w:pPr>
        <w:ind w:left="432" w:hanging="432"/>
      </w:pPr>
    </w:lvl>
  </w:abstractNum>
  <w:abstractNum w:abstractNumId="11" w15:restartNumberingAfterBreak="0">
    <w:nsid w:val="353B4ABD"/>
    <w:multiLevelType w:val="hybridMultilevel"/>
    <w:tmpl w:val="E528DDFE"/>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2" w15:restartNumberingAfterBreak="0">
    <w:nsid w:val="37091A9A"/>
    <w:multiLevelType w:val="hybridMultilevel"/>
    <w:tmpl w:val="5E043E22"/>
    <w:lvl w:ilvl="0" w:tplc="D1E283A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7C9678C"/>
    <w:multiLevelType w:val="hybridMultilevel"/>
    <w:tmpl w:val="B656AED4"/>
    <w:lvl w:ilvl="0" w:tplc="E99809E2">
      <w:start w:val="2"/>
      <w:numFmt w:val="lowerLetter"/>
      <w:lvlText w:val="%1."/>
      <w:lvlJc w:val="left"/>
      <w:pPr>
        <w:ind w:left="108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B87772"/>
    <w:multiLevelType w:val="hybridMultilevel"/>
    <w:tmpl w:val="89E24240"/>
    <w:lvl w:ilvl="0" w:tplc="0409000F">
      <w:start w:val="1"/>
      <w:numFmt w:val="decimal"/>
      <w:lvlText w:val="%1."/>
      <w:lvlJc w:val="left"/>
      <w:pPr>
        <w:tabs>
          <w:tab w:val="num" w:pos="720"/>
        </w:tabs>
        <w:ind w:left="720" w:hanging="360"/>
      </w:pPr>
    </w:lvl>
    <w:lvl w:ilvl="1" w:tplc="AE7C39F2">
      <w:start w:val="1"/>
      <w:numFmt w:val="lowerRoman"/>
      <w:lvlText w:val="(%2)"/>
      <w:lvlJc w:val="left"/>
      <w:pPr>
        <w:tabs>
          <w:tab w:val="num" w:pos="1644"/>
        </w:tabs>
        <w:ind w:left="1644" w:hanging="564"/>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A2D199F"/>
    <w:multiLevelType w:val="hybridMultilevel"/>
    <w:tmpl w:val="1E7003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D801730"/>
    <w:multiLevelType w:val="hybridMultilevel"/>
    <w:tmpl w:val="392EF2E2"/>
    <w:lvl w:ilvl="0" w:tplc="083060DE">
      <w:start w:val="2"/>
      <w:numFmt w:val="lowerLetter"/>
      <w:lvlText w:val="(%1)"/>
      <w:lvlJc w:val="left"/>
      <w:pPr>
        <w:tabs>
          <w:tab w:val="num" w:pos="375"/>
        </w:tabs>
        <w:ind w:left="375" w:hanging="375"/>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3E1A1FC9"/>
    <w:multiLevelType w:val="hybridMultilevel"/>
    <w:tmpl w:val="2FAC4E1A"/>
    <w:lvl w:ilvl="0" w:tplc="5BA2C4C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A817B9"/>
    <w:multiLevelType w:val="multilevel"/>
    <w:tmpl w:val="B66A86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B610682"/>
    <w:multiLevelType w:val="hybridMultilevel"/>
    <w:tmpl w:val="B2448B9A"/>
    <w:lvl w:ilvl="0" w:tplc="0809000F">
      <w:start w:val="1"/>
      <w:numFmt w:val="decimal"/>
      <w:lvlText w:val="%1."/>
      <w:lvlJc w:val="left"/>
      <w:pPr>
        <w:ind w:left="720" w:hanging="360"/>
      </w:pPr>
    </w:lvl>
    <w:lvl w:ilvl="1" w:tplc="08090019" w:tentative="1">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20" w15:restartNumberingAfterBreak="0">
    <w:nsid w:val="4CBD2511"/>
    <w:multiLevelType w:val="hybridMultilevel"/>
    <w:tmpl w:val="2466C2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0F3390"/>
    <w:multiLevelType w:val="hybridMultilevel"/>
    <w:tmpl w:val="D0C8294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2" w15:restartNumberingAfterBreak="0">
    <w:nsid w:val="62466798"/>
    <w:multiLevelType w:val="hybridMultilevel"/>
    <w:tmpl w:val="36E2D456"/>
    <w:lvl w:ilvl="0" w:tplc="A0D0E546">
      <w:start w:val="1"/>
      <w:numFmt w:val="lowerLetter"/>
      <w:lvlText w:val="(%1)"/>
      <w:lvlJc w:val="left"/>
      <w:pPr>
        <w:tabs>
          <w:tab w:val="num" w:pos="1065"/>
        </w:tabs>
        <w:ind w:left="1065" w:hanging="7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25F2B03"/>
    <w:multiLevelType w:val="hybridMultilevel"/>
    <w:tmpl w:val="A3685CA2"/>
    <w:lvl w:ilvl="0" w:tplc="DE0042F2">
      <w:start w:val="3"/>
      <w:numFmt w:val="decimal"/>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719F1F53"/>
    <w:multiLevelType w:val="hybridMultilevel"/>
    <w:tmpl w:val="D15402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23B009D"/>
    <w:multiLevelType w:val="hybridMultilevel"/>
    <w:tmpl w:val="1332A402"/>
    <w:lvl w:ilvl="0" w:tplc="F03273EE">
      <w:start w:val="1"/>
      <w:numFmt w:val="lowerLetter"/>
      <w:lvlText w:val="(%1)"/>
      <w:lvlJc w:val="left"/>
      <w:pPr>
        <w:tabs>
          <w:tab w:val="num" w:pos="1065"/>
        </w:tabs>
        <w:ind w:left="1065" w:hanging="7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7BE0F73"/>
    <w:multiLevelType w:val="hybridMultilevel"/>
    <w:tmpl w:val="9E3A8498"/>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243A85"/>
    <w:multiLevelType w:val="multilevel"/>
    <w:tmpl w:val="E528DDFE"/>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8" w15:restartNumberingAfterBreak="0">
    <w:nsid w:val="7FB47DEE"/>
    <w:multiLevelType w:val="hybridMultilevel"/>
    <w:tmpl w:val="60BC71B0"/>
    <w:lvl w:ilvl="0" w:tplc="01545D2C">
      <w:start w:val="1"/>
      <w:numFmt w:val="decimal"/>
      <w:lvlText w:val="%1."/>
      <w:lvlJc w:val="left"/>
      <w:pPr>
        <w:ind w:left="360" w:hanging="360"/>
      </w:pPr>
      <w:rPr>
        <w:rFonts w:hint="default"/>
        <w:b w:val="0"/>
        <w:color w:val="auto"/>
      </w:rPr>
    </w:lvl>
    <w:lvl w:ilvl="1" w:tplc="AAFE3C92">
      <w:start w:val="1"/>
      <w:numFmt w:val="lowerLetter"/>
      <w:lvlText w:val="%2."/>
      <w:lvlJc w:val="left"/>
      <w:pPr>
        <w:ind w:left="1080" w:hanging="360"/>
      </w:pPr>
      <w:rPr>
        <w:b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22843868">
    <w:abstractNumId w:val="10"/>
  </w:num>
  <w:num w:numId="2" w16cid:durableId="1686980782">
    <w:abstractNumId w:val="10"/>
    <w:lvlOverride w:ilvl="0">
      <w:lvl w:ilvl="0">
        <w:start w:val="1"/>
        <w:numFmt w:val="lowerLetter"/>
        <w:lvlText w:val="(%1)"/>
        <w:legacy w:legacy="1" w:legacySpace="0" w:legacyIndent="432"/>
        <w:lvlJc w:val="left"/>
        <w:pPr>
          <w:ind w:left="432" w:hanging="432"/>
        </w:pPr>
      </w:lvl>
    </w:lvlOverride>
  </w:num>
  <w:num w:numId="3" w16cid:durableId="112602742">
    <w:abstractNumId w:val="8"/>
  </w:num>
  <w:num w:numId="4" w16cid:durableId="621352605">
    <w:abstractNumId w:val="11"/>
  </w:num>
  <w:num w:numId="5" w16cid:durableId="521086788">
    <w:abstractNumId w:val="27"/>
  </w:num>
  <w:num w:numId="6" w16cid:durableId="1597904124">
    <w:abstractNumId w:val="21"/>
  </w:num>
  <w:num w:numId="7" w16cid:durableId="1552889558">
    <w:abstractNumId w:val="9"/>
  </w:num>
  <w:num w:numId="8" w16cid:durableId="2098624533">
    <w:abstractNumId w:val="12"/>
  </w:num>
  <w:num w:numId="9" w16cid:durableId="971709802">
    <w:abstractNumId w:val="22"/>
  </w:num>
  <w:num w:numId="10" w16cid:durableId="1669748780">
    <w:abstractNumId w:val="23"/>
  </w:num>
  <w:num w:numId="11" w16cid:durableId="413480946">
    <w:abstractNumId w:val="25"/>
  </w:num>
  <w:num w:numId="12" w16cid:durableId="149952362">
    <w:abstractNumId w:val="15"/>
  </w:num>
  <w:num w:numId="13" w16cid:durableId="1452044144">
    <w:abstractNumId w:val="6"/>
  </w:num>
  <w:num w:numId="14" w16cid:durableId="354036600">
    <w:abstractNumId w:val="20"/>
  </w:num>
  <w:num w:numId="15" w16cid:durableId="1169369267">
    <w:abstractNumId w:val="5"/>
  </w:num>
  <w:num w:numId="16" w16cid:durableId="180705675">
    <w:abstractNumId w:val="14"/>
  </w:num>
  <w:num w:numId="17" w16cid:durableId="1455908461">
    <w:abstractNumId w:val="24"/>
  </w:num>
  <w:num w:numId="18" w16cid:durableId="2120641402">
    <w:abstractNumId w:val="18"/>
  </w:num>
  <w:num w:numId="19" w16cid:durableId="2063940266">
    <w:abstractNumId w:val="3"/>
  </w:num>
  <w:num w:numId="20" w16cid:durableId="595021987">
    <w:abstractNumId w:val="26"/>
  </w:num>
  <w:num w:numId="21" w16cid:durableId="221522383">
    <w:abstractNumId w:val="7"/>
  </w:num>
  <w:num w:numId="22" w16cid:durableId="761415124">
    <w:abstractNumId w:val="4"/>
  </w:num>
  <w:num w:numId="23" w16cid:durableId="1315186102">
    <w:abstractNumId w:val="19"/>
  </w:num>
  <w:num w:numId="24" w16cid:durableId="1606959092">
    <w:abstractNumId w:val="17"/>
  </w:num>
  <w:num w:numId="25" w16cid:durableId="1015377918">
    <w:abstractNumId w:val="0"/>
  </w:num>
  <w:num w:numId="26" w16cid:durableId="1260796345">
    <w:abstractNumId w:val="1"/>
  </w:num>
  <w:num w:numId="27" w16cid:durableId="1242984331">
    <w:abstractNumId w:val="2"/>
  </w:num>
  <w:num w:numId="28" w16cid:durableId="1440416350">
    <w:abstractNumId w:val="16"/>
  </w:num>
  <w:num w:numId="29" w16cid:durableId="218370634">
    <w:abstractNumId w:val="28"/>
  </w:num>
  <w:num w:numId="30" w16cid:durableId="9730961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bordersDoNotSurroundHeader/>
  <w:bordersDoNotSurroundFooter/>
  <w:activeWritingStyle w:appName="MSWord" w:lang="en-GB" w:vendorID="64" w:dllVersion="6" w:nlCheck="1" w:checkStyle="0"/>
  <w:activeWritingStyle w:appName="MSWord" w:lang="en-US" w:vendorID="64" w:dllVersion="6" w:nlCheck="1" w:checkStyle="1"/>
  <w:activeWritingStyle w:appName="MSWord" w:lang="fr-FR" w:vendorID="64" w:dllVersion="6" w:nlCheck="1" w:checkStyle="0"/>
  <w:activeWritingStyle w:appName="MSWord" w:lang="de-DE" w:vendorID="64" w:dllVersion="6" w:nlCheck="1" w:checkStyle="0"/>
  <w:activeWritingStyle w:appName="MSWord" w:lang="es-ES" w:vendorID="64" w:dllVersion="6"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es-E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DF31A1"/>
    <w:rsid w:val="00007171"/>
    <w:rsid w:val="000968D8"/>
    <w:rsid w:val="00096B9A"/>
    <w:rsid w:val="000B74DC"/>
    <w:rsid w:val="000C4985"/>
    <w:rsid w:val="000E4C13"/>
    <w:rsid w:val="000F2531"/>
    <w:rsid w:val="00104F92"/>
    <w:rsid w:val="00120AA4"/>
    <w:rsid w:val="00141E1F"/>
    <w:rsid w:val="001424A1"/>
    <w:rsid w:val="001E5AEB"/>
    <w:rsid w:val="001F5B0B"/>
    <w:rsid w:val="00223993"/>
    <w:rsid w:val="002277BE"/>
    <w:rsid w:val="00277A85"/>
    <w:rsid w:val="002B6125"/>
    <w:rsid w:val="0031252F"/>
    <w:rsid w:val="00394BCD"/>
    <w:rsid w:val="003D59E7"/>
    <w:rsid w:val="00410A58"/>
    <w:rsid w:val="00496FD3"/>
    <w:rsid w:val="004C452C"/>
    <w:rsid w:val="0051042D"/>
    <w:rsid w:val="0051456C"/>
    <w:rsid w:val="00522142"/>
    <w:rsid w:val="005856CF"/>
    <w:rsid w:val="005D2877"/>
    <w:rsid w:val="005E2AC9"/>
    <w:rsid w:val="00610117"/>
    <w:rsid w:val="006942BB"/>
    <w:rsid w:val="006B1C0A"/>
    <w:rsid w:val="006C6B82"/>
    <w:rsid w:val="007312DD"/>
    <w:rsid w:val="007804CA"/>
    <w:rsid w:val="00796F9C"/>
    <w:rsid w:val="007A0085"/>
    <w:rsid w:val="0084620B"/>
    <w:rsid w:val="008C240A"/>
    <w:rsid w:val="0091587F"/>
    <w:rsid w:val="00917F28"/>
    <w:rsid w:val="0095624C"/>
    <w:rsid w:val="009C02DF"/>
    <w:rsid w:val="009D1670"/>
    <w:rsid w:val="00A11D4B"/>
    <w:rsid w:val="00A15F84"/>
    <w:rsid w:val="00A17929"/>
    <w:rsid w:val="00A20F50"/>
    <w:rsid w:val="00A32F14"/>
    <w:rsid w:val="00A457A7"/>
    <w:rsid w:val="00A53C9D"/>
    <w:rsid w:val="00A60E27"/>
    <w:rsid w:val="00A663AE"/>
    <w:rsid w:val="00A765D4"/>
    <w:rsid w:val="00A82BEC"/>
    <w:rsid w:val="00AA2717"/>
    <w:rsid w:val="00AE120C"/>
    <w:rsid w:val="00B571C8"/>
    <w:rsid w:val="00B75AB0"/>
    <w:rsid w:val="00C34028"/>
    <w:rsid w:val="00C4385B"/>
    <w:rsid w:val="00C44CF3"/>
    <w:rsid w:val="00C54E44"/>
    <w:rsid w:val="00C56B50"/>
    <w:rsid w:val="00C71829"/>
    <w:rsid w:val="00C74BFE"/>
    <w:rsid w:val="00C87812"/>
    <w:rsid w:val="00CC50A0"/>
    <w:rsid w:val="00CC77D1"/>
    <w:rsid w:val="00D46C0D"/>
    <w:rsid w:val="00D6082F"/>
    <w:rsid w:val="00D822D5"/>
    <w:rsid w:val="00DA1B8E"/>
    <w:rsid w:val="00DA2B27"/>
    <w:rsid w:val="00DA627F"/>
    <w:rsid w:val="00DB29BA"/>
    <w:rsid w:val="00DB32AD"/>
    <w:rsid w:val="00DE63C4"/>
    <w:rsid w:val="00DF31A1"/>
    <w:rsid w:val="00E3672D"/>
    <w:rsid w:val="00E50DA0"/>
    <w:rsid w:val="00EE00A7"/>
    <w:rsid w:val="00F12DC2"/>
    <w:rsid w:val="00F23EA1"/>
    <w:rsid w:val="00F306DB"/>
    <w:rsid w:val="00F65CF1"/>
    <w:rsid w:val="00F95BC5"/>
    <w:rsid w:val="00FB675E"/>
    <w:rsid w:val="00FC1B7A"/>
    <w:rsid w:val="00FD53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90A2D"/>
  <w15:docId w15:val="{9E6B4E75-6725-46F2-84E6-94A071FA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5AB0"/>
    <w:pPr>
      <w:spacing w:after="120" w:line="360" w:lineRule="auto"/>
    </w:pPr>
    <w:rPr>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B75AB0"/>
    <w:pPr>
      <w:spacing w:line="300" w:lineRule="atLeast"/>
      <w:ind w:left="284" w:hanging="284"/>
    </w:pPr>
  </w:style>
  <w:style w:type="paragraph" w:styleId="2">
    <w:name w:val="Body Text Indent 2"/>
    <w:basedOn w:val="a"/>
    <w:rsid w:val="00B75AB0"/>
    <w:pPr>
      <w:spacing w:line="300" w:lineRule="exact"/>
      <w:ind w:left="284"/>
      <w:jc w:val="both"/>
    </w:pPr>
  </w:style>
  <w:style w:type="paragraph" w:styleId="3">
    <w:name w:val="Body Text Indent 3"/>
    <w:basedOn w:val="a"/>
    <w:rsid w:val="00A53C9D"/>
    <w:pPr>
      <w:ind w:left="283"/>
    </w:pPr>
    <w:rPr>
      <w:sz w:val="16"/>
      <w:szCs w:val="16"/>
    </w:rPr>
  </w:style>
  <w:style w:type="table" w:styleId="1">
    <w:name w:val="Table Classic 1"/>
    <w:basedOn w:val="a1"/>
    <w:rsid w:val="00A17929"/>
    <w:pPr>
      <w:spacing w:after="120"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4">
    <w:name w:val="Balloon Text"/>
    <w:basedOn w:val="a"/>
    <w:semiHidden/>
    <w:rsid w:val="00223993"/>
    <w:rPr>
      <w:rFonts w:ascii="Tahoma" w:hAnsi="Tahoma" w:cs="Tahoma"/>
      <w:sz w:val="16"/>
      <w:szCs w:val="16"/>
    </w:rPr>
  </w:style>
  <w:style w:type="paragraph" w:styleId="a5">
    <w:name w:val="List Paragraph"/>
    <w:basedOn w:val="a"/>
    <w:uiPriority w:val="34"/>
    <w:qFormat/>
    <w:rsid w:val="00917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9953">
      <w:bodyDiv w:val="1"/>
      <w:marLeft w:val="0"/>
      <w:marRight w:val="0"/>
      <w:marTop w:val="0"/>
      <w:marBottom w:val="0"/>
      <w:divBdr>
        <w:top w:val="none" w:sz="0" w:space="0" w:color="auto"/>
        <w:left w:val="none" w:sz="0" w:space="0" w:color="auto"/>
        <w:bottom w:val="none" w:sz="0" w:space="0" w:color="auto"/>
        <w:right w:val="none" w:sz="0" w:space="0" w:color="auto"/>
      </w:divBdr>
    </w:div>
    <w:div w:id="1574051376">
      <w:bodyDiv w:val="1"/>
      <w:marLeft w:val="0"/>
      <w:marRight w:val="0"/>
      <w:marTop w:val="0"/>
      <w:marBottom w:val="0"/>
      <w:divBdr>
        <w:top w:val="none" w:sz="0" w:space="0" w:color="auto"/>
        <w:left w:val="none" w:sz="0" w:space="0" w:color="auto"/>
        <w:bottom w:val="none" w:sz="0" w:space="0" w:color="auto"/>
        <w:right w:val="none" w:sz="0" w:space="0" w:color="auto"/>
      </w:divBdr>
    </w:div>
    <w:div w:id="15759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F537E-6B9E-4E07-9561-E90671020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1542</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Investment Management (IB 357)	Problem Sheet 2	Spring Term 1997</vt:lpstr>
    </vt:vector>
  </TitlesOfParts>
  <Company>University of Warwick</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 (IB 357)	Problem Sheet 2	Spring Term 1997</dc:title>
  <dc:subject/>
  <dc:creator>CGC Pitts: Authorized User</dc:creator>
  <cp:keywords/>
  <cp:lastModifiedBy>Wang, Kangrui (Student)</cp:lastModifiedBy>
  <cp:revision>27</cp:revision>
  <cp:lastPrinted>2001-04-26T09:56:00Z</cp:lastPrinted>
  <dcterms:created xsi:type="dcterms:W3CDTF">2010-11-15T10:39:00Z</dcterms:created>
  <dcterms:modified xsi:type="dcterms:W3CDTF">2024-05-14T19:08:00Z</dcterms:modified>
</cp:coreProperties>
</file>