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ShieldNetX</w:t>
      </w:r>
    </w:p>
    <w:p>
      <w:pPr>
        <w:spacing w:after="160"/>
        <w:jc w:val="center"/>
      </w:pPr>
      <w:r>
        <w:rPr>
          <w:rFonts w:ascii="Times New Roman" w:cs="Times New Roman" w:eastAsia="Times New Roman" w:hAnsi="Times New Roman"/>
          <w:b/>
          <w:bCs/>
          <w:i/>
          <w:iCs/>
          <w:sz w:val="22"/>
          <w:szCs w:val="22"/>
        </w:rPr>
        <w:t xml:space="preserve">A GenAI-Powered Platform for Real-Time Phishing Interception and Automated Fraudulent APK Risk Scoring</w:t>
      </w:r>
    </w:p>
    <w:p>
      <w:pPr>
        <w:spacing w:after="0"/>
        <w:jc w:val="center"/>
      </w:pPr>
      <w:r>
        <w:rPr>
          <w:rFonts w:ascii="Times New Roman" w:cs="Times New Roman" w:eastAsia="Times New Roman" w:hAnsi="Times New Roman"/>
          <w:i/>
          <w:iCs/>
          <w:sz w:val="20"/>
          <w:szCs w:val="20"/>
        </w:rPr>
        <w:t xml:space="preserve">Shravan Khanal, Rithwik, Kirthik, Anisha</w:t>
      </w:r>
    </w:p>
    <w:p>
      <w:pPr>
        <w:spacing w:after="0"/>
        <w:jc w:val="center"/>
      </w:pPr>
      <w:r>
        <w:rPr>
          <w:rFonts w:ascii="Times New Roman" w:cs="Times New Roman" w:eastAsia="Times New Roman" w:hAnsi="Times New Roman"/>
          <w:sz w:val="18"/>
          <w:szCs w:val="18"/>
        </w:rPr>
        <w:t xml:space="preserve">Dept. of Computer Science and Engineering (Cybersecurity)</w:t>
      </w:r>
    </w:p>
    <w:p>
      <w:pPr>
        <w:spacing w:after="0"/>
        <w:jc w:val="center"/>
      </w:pPr>
      <w:r>
        <w:rPr>
          <w:rFonts w:ascii="Times New Roman" w:cs="Times New Roman" w:eastAsia="Times New Roman" w:hAnsi="Times New Roman"/>
          <w:sz w:val="18"/>
          <w:szCs w:val="18"/>
        </w:rPr>
        <w:t xml:space="preserve">Sri Sairam Engineering College</w:t>
      </w:r>
    </w:p>
    <w:p>
      <w:pPr>
        <w:spacing w:after="200"/>
        <w:jc w:val="center"/>
      </w:pPr>
      <w:r>
        <w:rPr>
          <w:rFonts w:ascii="Times New Roman" w:cs="Times New Roman" w:eastAsia="Times New Roman" w:hAnsi="Times New Roman"/>
          <w:sz w:val="18"/>
          <w:szCs w:val="18"/>
        </w:rPr>
        <w:t xml:space="preserve">Chennai, India</w:t>
      </w:r>
    </w:p>
    <w:p>
      <w:pPr>
        <w:spacing w:after="100" w:before="200"/>
        <w:jc w:val="both"/>
      </w:pPr>
      <w:r>
        <w:rPr>
          <w:rFonts w:ascii="Times New Roman" w:cs="Times New Roman" w:eastAsia="Times New Roman" w:hAnsi="Times New Roman"/>
          <w:b/>
          <w:bCs/>
          <w:i/>
          <w:iCs/>
          <w:sz w:val="21"/>
          <w:szCs w:val="21"/>
        </w:rPr>
        <w:t xml:space="preserve">Abstract— </w:t>
      </w:r>
      <w:r>
        <w:rPr>
          <w:rFonts w:ascii="Times New Roman" w:cs="Times New Roman" w:eastAsia="Times New Roman" w:hAnsi="Times New Roman"/>
          <w:sz w:val="21"/>
          <w:szCs w:val="21"/>
        </w:rPr>
        <w:t xml:space="preserve">Fraudsters increasingly distribute fake banking applications through WhatsApp, SMS, phishing emails, and rogue app stores, tricking victims into installing malicious APKs that steal one-time passwords and credentials and perform unauthorized UPI transactions. Manual analyst review of such applications typically takes days, leaving a critical window during which customers remain exposed. This paper presents ShieldNetX, a two-part, Generative AI-powered defence platform developed for Problem Statement 1 (Generative AI-Based Automated Analysis and Risk Scoring of Fraudulent APKs) of the Bank of India CyberShield Hackathon 2026. The Link Interceptor component is a Chrome extension and Android application that detects and blocks phishing links the instant they are clicked, before a malicious APK can even be downloaded. The APK Analyzer component is a six-layer automated pipeline — ingestion, static analysis, dynamic sandbox execution, a GenAI reasoning brain, weighted risk scoring, and automated reporting — that inspects any APK that slips past interception and returns a fully explained, investigator-ready risk report in under twelve minutes, compared to two to three days of manual expert review. The system is built almost entirely on free and open-source tooling, uses a cost-safe three-tier GenAI fallback chain, and is mapped against RBI, CERT-In, ISO 27001, PCI DSS, and DPDP Act compliance requirements. This paper details the system's architecture, its scoring methodology, its demonstrated prototype scope, and its production roadmap.</w:t>
      </w:r>
    </w:p>
    <w:p>
      <w:pPr>
        <w:spacing w:after="200"/>
      </w:pPr>
      <w:r>
        <w:rPr>
          <w:rFonts w:ascii="Times New Roman" w:cs="Times New Roman" w:eastAsia="Times New Roman" w:hAnsi="Times New Roman"/>
          <w:b/>
          <w:bCs/>
          <w:i/>
          <w:iCs/>
          <w:sz w:val="21"/>
          <w:szCs w:val="21"/>
        </w:rPr>
        <w:t xml:space="preserve">Keywords— </w:t>
      </w:r>
      <w:r>
        <w:rPr>
          <w:rFonts w:ascii="Times New Roman" w:cs="Times New Roman" w:eastAsia="Times New Roman" w:hAnsi="Times New Roman"/>
          <w:i/>
          <w:iCs/>
          <w:sz w:val="21"/>
          <w:szCs w:val="21"/>
        </w:rPr>
        <w:t xml:space="preserve">Fraudulent APK detection, phishing interception, generative AI, static analysis, dynamic sandbox analysis, explainable AI, SHAP, XGBoost, MITRE ATT&amp;CK, banking fraud, mobile security.</w:t>
      </w:r>
    </w:p>
    <w:p>
      <w:pPr>
        <w:pStyle w:val="Heading1"/>
        <w:spacing w:after="120" w:before="240"/>
      </w:pPr>
      <w:r>
        <w:rPr>
          <w:rFonts w:ascii="Times New Roman" w:cs="Times New Roman" w:eastAsia="Times New Roman" w:hAnsi="Times New Roman"/>
          <w:b/>
          <w:bCs/>
          <w:sz w:val="22"/>
          <w:szCs w:val="22"/>
        </w:rPr>
        <w:t xml:space="preserve">I. INTRODUCTION</w:t>
      </w:r>
    </w:p>
    <w:p>
      <w:pPr>
        <w:spacing w:after="140"/>
        <w:jc w:val="both"/>
      </w:pPr>
      <w:r>
        <w:rPr>
          <w:rFonts w:ascii="Times New Roman" w:cs="Times New Roman" w:eastAsia="Times New Roman" w:hAnsi="Times New Roman"/>
          <w:sz w:val="21"/>
          <w:szCs w:val="21"/>
        </w:rPr>
        <w:t xml:space="preserve">Fraudsters distribute fake banking applications via WhatsApp, SMS, phishing email, and rogue app stores. Once installed, these applications steal customer credentials, intercept one-time passwords, and perform unauthorized UPI transactions — frequently without the victim noticing any deviation from a genuine banking application. Manual analyst review of a suspicious APK typically takes several days, during which the malicious application continues to circulate and harm customers. The Bank of India CyberShield Hackathon 2026 accordingly posed Problem Statement 1: build an automated, Generative AI-powered system to detect and report on malicious APKs quickly.</w:t>
      </w:r>
    </w:p>
    <w:p>
      <w:pPr>
        <w:spacing w:after="140"/>
        <w:jc w:val="both"/>
      </w:pPr>
      <w:r>
        <w:rPr>
          <w:rFonts w:ascii="Times New Roman" w:cs="Times New Roman" w:eastAsia="Times New Roman" w:hAnsi="Times New Roman"/>
          <w:sz w:val="21"/>
          <w:szCs w:val="21"/>
        </w:rPr>
        <w:t xml:space="preserve">ShieldNetX addresses this problem with a single guiding principle: catch the phishing link before the APK is ever downloaded, and if a malicious APK slips through regardless, run it through a combined static, dynamic, and AI-driven analysis pipeline to produce a risk score and full investigation report in under twelve minutes rather than days.</w:t>
      </w:r>
    </w:p>
    <w:p>
      <w:pPr>
        <w:pStyle w:val="Heading1"/>
        <w:spacing w:after="120" w:before="240"/>
      </w:pPr>
      <w:r>
        <w:rPr>
          <w:rFonts w:ascii="Times New Roman" w:cs="Times New Roman" w:eastAsia="Times New Roman" w:hAnsi="Times New Roman"/>
          <w:b/>
          <w:bCs/>
          <w:sz w:val="22"/>
          <w:szCs w:val="22"/>
        </w:rPr>
        <w:t xml:space="preserve">II. EXISTING LIMITATIONS</w:t>
      </w:r>
    </w:p>
    <w:p>
      <w:pPr>
        <w:spacing w:after="140"/>
        <w:jc w:val="both"/>
      </w:pPr>
      <w:r>
        <w:rPr>
          <w:rFonts w:ascii="Times New Roman" w:cs="Times New Roman" w:eastAsia="Times New Roman" w:hAnsi="Times New Roman"/>
          <w:sz w:val="21"/>
          <w:szCs w:val="21"/>
        </w:rPr>
        <w:t xml:space="preserve">Signature and hash-based tools such as VirusTotal are manual and reactive by design: an analyst must copy a suspicious hash or link and submit it for lookup, and only previously catalogued, registered threats are flagged. Freshly repackaged or genuinely novel malware routinely evades this model entirely, since there is no reasoning about what the application actually does — only whether it has been seen before.</w:t>
      </w:r>
    </w:p>
    <w:p>
      <w:pPr>
        <w:pStyle w:val="Heading1"/>
        <w:spacing w:after="120" w:before="240"/>
      </w:pPr>
      <w:r>
        <w:rPr>
          <w:rFonts w:ascii="Times New Roman" w:cs="Times New Roman" w:eastAsia="Times New Roman" w:hAnsi="Times New Roman"/>
          <w:b/>
          <w:bCs/>
          <w:sz w:val="22"/>
          <w:szCs w:val="22"/>
        </w:rPr>
        <w:t xml:space="preserve">III. SOLUTION OVERVIEW</w:t>
      </w:r>
    </w:p>
    <w:p>
      <w:pPr>
        <w:spacing w:after="140"/>
        <w:jc w:val="both"/>
      </w:pPr>
      <w:r>
        <w:rPr>
          <w:rFonts w:ascii="Times New Roman" w:cs="Times New Roman" w:eastAsia="Times New Roman" w:hAnsi="Times New Roman"/>
          <w:sz w:val="21"/>
          <w:szCs w:val="21"/>
        </w:rPr>
        <w:t xml:space="preserve">ShieldNetX is structured as a two-part system, combining upstream prevention with downstream automated forensic analysis.</w:t>
      </w:r>
    </w:p>
    <w:p>
      <w:pPr>
        <w:spacing w:after="80" w:before="160"/>
      </w:pPr>
      <w:r>
        <w:rPr>
          <w:rFonts w:ascii="Times New Roman" w:cs="Times New Roman" w:eastAsia="Times New Roman" w:hAnsi="Times New Roman"/>
          <w:b/>
          <w:bCs/>
          <w:i/>
          <w:iCs/>
          <w:sz w:val="21"/>
          <w:szCs w:val="21"/>
        </w:rPr>
        <w:t xml:space="preserve">A. Link Interceptor</w:t>
      </w:r>
    </w:p>
    <w:p>
      <w:pPr>
        <w:pStyle w:val="ListParagraph"/>
        <w:numPr>
          <w:ilvl w:val="0"/>
          <w:numId w:val="2"/>
        </w:numPr>
        <w:spacing w:after="80"/>
      </w:pPr>
      <w:r>
        <w:rPr>
          <w:rFonts w:ascii="Times New Roman" w:cs="Times New Roman" w:eastAsia="Times New Roman" w:hAnsi="Times New Roman"/>
          <w:sz w:val="21"/>
          <w:szCs w:val="21"/>
        </w:rPr>
        <w:t xml:space="preserve">Chrome extension (web users) and Android application (phone users) sharing the same detection engine across two entry points</w:t>
      </w:r>
    </w:p>
    <w:p>
      <w:pPr>
        <w:pStyle w:val="ListParagraph"/>
        <w:numPr>
          <w:ilvl w:val="0"/>
          <w:numId w:val="2"/>
        </w:numPr>
        <w:spacing w:after="80"/>
      </w:pPr>
      <w:r>
        <w:rPr>
          <w:rFonts w:ascii="Times New Roman" w:cs="Times New Roman" w:eastAsia="Times New Roman" w:hAnsi="Times New Roman"/>
          <w:sz w:val="21"/>
          <w:szCs w:val="21"/>
        </w:rPr>
        <w:t xml:space="preserve">Detects phishing and malicious links the moment they are clicked, in real time</w:t>
      </w:r>
    </w:p>
    <w:p>
      <w:pPr>
        <w:pStyle w:val="ListParagraph"/>
        <w:numPr>
          <w:ilvl w:val="0"/>
          <w:numId w:val="2"/>
        </w:numPr>
        <w:spacing w:after="80"/>
      </w:pPr>
      <w:r>
        <w:rPr>
          <w:rFonts w:ascii="Times New Roman" w:cs="Times New Roman" w:eastAsia="Times New Roman" w:hAnsi="Times New Roman"/>
          <w:sz w:val="21"/>
          <w:szCs w:val="21"/>
        </w:rPr>
        <w:t xml:space="preserve">Automatically captures the APK when a link leads to a fake banking-app download</w:t>
      </w:r>
    </w:p>
    <w:p>
      <w:pPr>
        <w:pStyle w:val="ListParagraph"/>
        <w:numPr>
          <w:ilvl w:val="0"/>
          <w:numId w:val="2"/>
        </w:numPr>
        <w:spacing w:after="80"/>
      </w:pPr>
      <w:r>
        <w:rPr>
          <w:rFonts w:ascii="Times New Roman" w:cs="Times New Roman" w:eastAsia="Times New Roman" w:hAnsi="Times New Roman"/>
          <w:sz w:val="21"/>
          <w:szCs w:val="21"/>
        </w:rPr>
        <w:t xml:space="preserve">Demonstrated live against the team's own fake attacker site and phishing sandbox</w:t>
      </w:r>
    </w:p>
    <w:p>
      <w:pPr>
        <w:spacing w:after="80" w:before="160"/>
      </w:pPr>
      <w:r>
        <w:rPr>
          <w:rFonts w:ascii="Times New Roman" w:cs="Times New Roman" w:eastAsia="Times New Roman" w:hAnsi="Times New Roman"/>
          <w:b/>
          <w:bCs/>
          <w:i/>
          <w:iCs/>
          <w:sz w:val="21"/>
          <w:szCs w:val="21"/>
        </w:rPr>
        <w:t xml:space="preserve">B. APK Analyzer</w:t>
      </w:r>
    </w:p>
    <w:p>
      <w:pPr>
        <w:spacing w:after="140"/>
        <w:jc w:val="both"/>
      </w:pPr>
      <w:r>
        <w:rPr>
          <w:rFonts w:ascii="Times New Roman" w:cs="Times New Roman" w:eastAsia="Times New Roman" w:hAnsi="Times New Roman"/>
          <w:sz w:val="21"/>
          <w:szCs w:val="21"/>
        </w:rPr>
        <w:t xml:space="preserve">A six-layer automated pipeline processes any APK that reaches the system, described in detail in Section IV.</w:t>
      </w:r>
    </w:p>
    <w:p>
      <w:pPr>
        <w:pStyle w:val="Heading1"/>
        <w:spacing w:after="120" w:before="240"/>
      </w:pPr>
      <w:r>
        <w:rPr>
          <w:rFonts w:ascii="Times New Roman" w:cs="Times New Roman" w:eastAsia="Times New Roman" w:hAnsi="Times New Roman"/>
          <w:b/>
          <w:bCs/>
          <w:sz w:val="22"/>
          <w:szCs w:val="22"/>
        </w:rPr>
        <w:t xml:space="preserve">IV. SYSTEM ARCHITECTURE — THE SIX-LAYER APK ANALYZER</w:t>
      </w:r>
    </w:p>
    <w:p>
      <w:pPr>
        <w:spacing w:after="80" w:before="160"/>
      </w:pPr>
      <w:r>
        <w:rPr>
          <w:rFonts w:ascii="Times New Roman" w:cs="Times New Roman" w:eastAsia="Times New Roman" w:hAnsi="Times New Roman"/>
          <w:b/>
          <w:bCs/>
          <w:i/>
          <w:iCs/>
          <w:sz w:val="21"/>
          <w:szCs w:val="21"/>
        </w:rPr>
        <w:t xml:space="preserve">A. Layer 1 — Ingestion</w:t>
      </w:r>
    </w:p>
    <w:p>
      <w:pPr>
        <w:spacing w:after="140"/>
        <w:jc w:val="both"/>
      </w:pPr>
      <w:r>
        <w:rPr>
          <w:rFonts w:ascii="Times New Roman" w:cs="Times New Roman" w:eastAsia="Times New Roman" w:hAnsi="Times New Roman"/>
          <w:sz w:val="21"/>
          <w:szCs w:val="21"/>
        </w:rPr>
        <w:t xml:space="preserve">APKs enter the system through a secure upload portal, automated threat feeds (VirusTotal, MalwareBazaar, CERT-In), WhatsApp/SMS/email monitors that auto-capture suspicious links reported by customers, and a REST API for integration with existing bank tooling. A SHA-256 hash is generated immediately and checked against a known-malware database for an instant block; deduplication via Redis ensures an identical hash is never re-analyzed.</w:t>
      </w:r>
    </w:p>
    <w:p>
      <w:pPr>
        <w:spacing w:after="80" w:before="160"/>
      </w:pPr>
      <w:r>
        <w:rPr>
          <w:rFonts w:ascii="Times New Roman" w:cs="Times New Roman" w:eastAsia="Times New Roman" w:hAnsi="Times New Roman"/>
          <w:b/>
          <w:bCs/>
          <w:i/>
          <w:iCs/>
          <w:sz w:val="21"/>
          <w:szCs w:val="21"/>
        </w:rPr>
        <w:t xml:space="preserve">B. Layer 2 — Static Analysis</w:t>
      </w:r>
    </w:p>
    <w:p>
      <w:pPr>
        <w:spacing w:after="140"/>
        <w:jc w:val="both"/>
      </w:pPr>
      <w:r>
        <w:rPr>
          <w:rFonts w:ascii="Times New Roman" w:cs="Times New Roman" w:eastAsia="Times New Roman" w:hAnsi="Times New Roman"/>
          <w:sz w:val="21"/>
          <w:szCs w:val="21"/>
        </w:rPr>
        <w:t xml:space="preserve">JADX and Apktool decompile the application for inspection without execution. The AndroidManifest.xml is parsed for dangerous permission combinations — for example, READ_SMS combined with INTERNET indicates OTP or credential theft risk, and BIND_ACCESSIBILITY_SERVICE indicates keylogger or overlay-attack risk. This layer also performs a banking-logo and keyword scan and certificate validation.</w:t>
      </w:r>
    </w:p>
    <w:p>
      <w:pPr>
        <w:spacing w:after="80" w:before="160"/>
      </w:pPr>
      <w:r>
        <w:rPr>
          <w:rFonts w:ascii="Times New Roman" w:cs="Times New Roman" w:eastAsia="Times New Roman" w:hAnsi="Times New Roman"/>
          <w:b/>
          <w:bCs/>
          <w:i/>
          <w:iCs/>
          <w:sz w:val="21"/>
          <w:szCs w:val="21"/>
        </w:rPr>
        <w:t xml:space="preserve">C. Layer 3 — Dynamic Sandbox</w:t>
      </w:r>
    </w:p>
    <w:p>
      <w:pPr>
        <w:spacing w:after="140"/>
        <w:jc w:val="both"/>
      </w:pPr>
      <w:r>
        <w:rPr>
          <w:rFonts w:ascii="Times New Roman" w:cs="Times New Roman" w:eastAsia="Times New Roman" w:hAnsi="Times New Roman"/>
          <w:sz w:val="21"/>
          <w:szCs w:val="21"/>
        </w:rPr>
        <w:t xml:space="preserve">The APK is executed inside an isolated Android emulator pre-loaded with a fake banking environment — dummy UPI applications and synthetic SMS and contact data. Frida instruments the running process at the system-call level to capture genuine runtime behaviour, while MonkeyRunner simulates realistic taps and swipes to trigger behaviour that only activates after simulated use, such as fake credential entry or OTP interception.</w:t>
      </w:r>
    </w:p>
    <w:p>
      <w:pPr>
        <w:spacing w:after="80" w:before="160"/>
      </w:pPr>
      <w:r>
        <w:rPr>
          <w:rFonts w:ascii="Times New Roman" w:cs="Times New Roman" w:eastAsia="Times New Roman" w:hAnsi="Times New Roman"/>
          <w:b/>
          <w:bCs/>
          <w:i/>
          <w:iCs/>
          <w:sz w:val="21"/>
          <w:szCs w:val="21"/>
        </w:rPr>
        <w:t xml:space="preserve">D. Layer 4 — GenAI Brain (core innovation)</w:t>
      </w:r>
    </w:p>
    <w:p>
      <w:pPr>
        <w:spacing w:after="140"/>
        <w:jc w:val="both"/>
      </w:pPr>
      <w:r>
        <w:rPr>
          <w:rFonts w:ascii="Times New Roman" w:cs="Times New Roman" w:eastAsia="Times New Roman" w:hAnsi="Times New Roman"/>
          <w:sz w:val="21"/>
          <w:szCs w:val="21"/>
        </w:rPr>
        <w:t xml:space="preserve">A large language model reads the decompiled code and the behavioural logs from the dynamic sandbox and reasons about intent — what the code is actually doing, whether it steals or transmits sensitive data, and what specific fraud technique it implements — rather than relying purely on signature matching. This allows the system to catch novel malware variants that have never been seen before. Findings are output in a structured form mapped to the MITRE ATT&amp;CK Mobile taxonomy.</w:t>
      </w:r>
    </w:p>
    <w:p>
      <w:pPr>
        <w:spacing w:after="80" w:before="160"/>
      </w:pPr>
      <w:r>
        <w:rPr>
          <w:rFonts w:ascii="Times New Roman" w:cs="Times New Roman" w:eastAsia="Times New Roman" w:hAnsi="Times New Roman"/>
          <w:b/>
          <w:bCs/>
          <w:i/>
          <w:iCs/>
          <w:sz w:val="21"/>
          <w:szCs w:val="21"/>
        </w:rPr>
        <w:t xml:space="preserve">E. Layer 5 — Risk Scoring</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7000"/>
        <w:gridCol w:w="2350"/>
      </w:tblGrid>
      <w:tr>
        <w:trPr>
          <w:tblHeader/>
        </w:trPr>
        <w:tc>
          <w:tcPr>
            <w:tcW w:type="dxa" w:w="70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Signal Category</w:t>
            </w:r>
          </w:p>
        </w:tc>
        <w:tc>
          <w:tcPr>
            <w:tcW w:type="dxa" w:w="23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Weight</w:t>
            </w:r>
          </w:p>
        </w:tc>
      </w:tr>
      <w:tr>
        <w:tc>
          <w:tcPr>
            <w:tcW w:type="dxa" w:w="7000"/>
            <w:tcMar>
              <w:top w:type="dxa" w:w="60"/>
              <w:left w:type="dxa" w:w="100"/>
              <w:bottom w:type="dxa" w:w="60"/>
              <w:right w:type="dxa" w:w="100"/>
            </w:tcMar>
          </w:tcPr>
          <w:p>
            <w:r>
              <w:rPr>
                <w:rFonts w:ascii="Times New Roman" w:cs="Times New Roman" w:eastAsia="Times New Roman" w:hAnsi="Times New Roman"/>
                <w:sz w:val="19"/>
                <w:szCs w:val="19"/>
              </w:rPr>
              <w:t xml:space="preserve">Data exfiltration confirmed during dynamic analysis</w:t>
            </w:r>
          </w:p>
        </w:tc>
        <w:tc>
          <w:tcPr>
            <w:tcW w:type="dxa" w:w="2350"/>
            <w:tcMar>
              <w:top w:type="dxa" w:w="60"/>
              <w:left w:type="dxa" w:w="100"/>
              <w:bottom w:type="dxa" w:w="60"/>
              <w:right w:type="dxa" w:w="100"/>
            </w:tcMar>
          </w:tcPr>
          <w:p>
            <w:r>
              <w:rPr>
                <w:rFonts w:ascii="Times New Roman" w:cs="Times New Roman" w:eastAsia="Times New Roman" w:hAnsi="Times New Roman"/>
                <w:sz w:val="19"/>
                <w:szCs w:val="19"/>
              </w:rPr>
              <w:t xml:space="preserve">25%</w:t>
            </w:r>
          </w:p>
        </w:tc>
      </w:tr>
      <w:tr>
        <w:tc>
          <w:tcPr>
            <w:tcW w:type="dxa" w:w="7000"/>
            <w:tcMar>
              <w:top w:type="dxa" w:w="60"/>
              <w:left w:type="dxa" w:w="100"/>
              <w:bottom w:type="dxa" w:w="60"/>
              <w:right w:type="dxa" w:w="100"/>
            </w:tcMar>
          </w:tcPr>
          <w:p>
            <w:r>
              <w:rPr>
                <w:rFonts w:ascii="Times New Roman" w:cs="Times New Roman" w:eastAsia="Times New Roman" w:hAnsi="Times New Roman"/>
                <w:sz w:val="19"/>
                <w:szCs w:val="19"/>
              </w:rPr>
              <w:t xml:space="preserve">Dangerous permission combination detected</w:t>
            </w:r>
          </w:p>
        </w:tc>
        <w:tc>
          <w:tcPr>
            <w:tcW w:type="dxa" w:w="2350"/>
            <w:tcMar>
              <w:top w:type="dxa" w:w="60"/>
              <w:left w:type="dxa" w:w="100"/>
              <w:bottom w:type="dxa" w:w="60"/>
              <w:right w:type="dxa" w:w="100"/>
            </w:tcMar>
          </w:tcPr>
          <w:p>
            <w:r>
              <w:rPr>
                <w:rFonts w:ascii="Times New Roman" w:cs="Times New Roman" w:eastAsia="Times New Roman" w:hAnsi="Times New Roman"/>
                <w:sz w:val="19"/>
                <w:szCs w:val="19"/>
              </w:rPr>
              <w:t xml:space="preserve">20%</w:t>
            </w:r>
          </w:p>
        </w:tc>
      </w:tr>
      <w:tr>
        <w:tc>
          <w:tcPr>
            <w:tcW w:type="dxa" w:w="7000"/>
            <w:tcMar>
              <w:top w:type="dxa" w:w="60"/>
              <w:left w:type="dxa" w:w="100"/>
              <w:bottom w:type="dxa" w:w="60"/>
              <w:right w:type="dxa" w:w="100"/>
            </w:tcMar>
          </w:tcPr>
          <w:p>
            <w:r>
              <w:rPr>
                <w:rFonts w:ascii="Times New Roman" w:cs="Times New Roman" w:eastAsia="Times New Roman" w:hAnsi="Times New Roman"/>
                <w:sz w:val="19"/>
                <w:szCs w:val="19"/>
              </w:rPr>
              <w:t xml:space="preserve">UI overlay attack on banking application confirmed</w:t>
            </w:r>
          </w:p>
        </w:tc>
        <w:tc>
          <w:tcPr>
            <w:tcW w:type="dxa" w:w="2350"/>
            <w:tcMar>
              <w:top w:type="dxa" w:w="60"/>
              <w:left w:type="dxa" w:w="100"/>
              <w:bottom w:type="dxa" w:w="60"/>
              <w:right w:type="dxa" w:w="100"/>
            </w:tcMar>
          </w:tcPr>
          <w:p>
            <w:r>
              <w:rPr>
                <w:rFonts w:ascii="Times New Roman" w:cs="Times New Roman" w:eastAsia="Times New Roman" w:hAnsi="Times New Roman"/>
                <w:sz w:val="19"/>
                <w:szCs w:val="19"/>
              </w:rPr>
              <w:t xml:space="preserve">20%</w:t>
            </w:r>
          </w:p>
        </w:tc>
      </w:tr>
      <w:tr>
        <w:tc>
          <w:tcPr>
            <w:tcW w:type="dxa" w:w="7000"/>
            <w:tcMar>
              <w:top w:type="dxa" w:w="60"/>
              <w:left w:type="dxa" w:w="100"/>
              <w:bottom w:type="dxa" w:w="60"/>
              <w:right w:type="dxa" w:w="100"/>
            </w:tcMar>
          </w:tcPr>
          <w:p>
            <w:r>
              <w:rPr>
                <w:rFonts w:ascii="Times New Roman" w:cs="Times New Roman" w:eastAsia="Times New Roman" w:hAnsi="Times New Roman"/>
                <w:sz w:val="19"/>
                <w:szCs w:val="19"/>
              </w:rPr>
              <w:t xml:space="preserve">C2 communication / beaconing detected</w:t>
            </w:r>
          </w:p>
        </w:tc>
        <w:tc>
          <w:tcPr>
            <w:tcW w:type="dxa" w:w="2350"/>
            <w:tcMar>
              <w:top w:type="dxa" w:w="60"/>
              <w:left w:type="dxa" w:w="100"/>
              <w:bottom w:type="dxa" w:w="60"/>
              <w:right w:type="dxa" w:w="100"/>
            </w:tcMar>
          </w:tcPr>
          <w:p>
            <w:r>
              <w:rPr>
                <w:rFonts w:ascii="Times New Roman" w:cs="Times New Roman" w:eastAsia="Times New Roman" w:hAnsi="Times New Roman"/>
                <w:sz w:val="19"/>
                <w:szCs w:val="19"/>
              </w:rPr>
              <w:t xml:space="preserve">15%</w:t>
            </w:r>
          </w:p>
        </w:tc>
      </w:tr>
      <w:tr>
        <w:tc>
          <w:tcPr>
            <w:tcW w:type="dxa" w:w="7000"/>
            <w:tcMar>
              <w:top w:type="dxa" w:w="60"/>
              <w:left w:type="dxa" w:w="100"/>
              <w:bottom w:type="dxa" w:w="60"/>
              <w:right w:type="dxa" w:w="100"/>
            </w:tcMar>
          </w:tcPr>
          <w:p>
            <w:r>
              <w:rPr>
                <w:rFonts w:ascii="Times New Roman" w:cs="Times New Roman" w:eastAsia="Times New Roman" w:hAnsi="Times New Roman"/>
                <w:sz w:val="19"/>
                <w:szCs w:val="19"/>
              </w:rPr>
              <w:t xml:space="preserve">Code obfuscation / anti-analysis techniques</w:t>
            </w:r>
          </w:p>
        </w:tc>
        <w:tc>
          <w:tcPr>
            <w:tcW w:type="dxa" w:w="2350"/>
            <w:tcMar>
              <w:top w:type="dxa" w:w="60"/>
              <w:left w:type="dxa" w:w="100"/>
              <w:bottom w:type="dxa" w:w="60"/>
              <w:right w:type="dxa" w:w="100"/>
            </w:tcMar>
          </w:tcPr>
          <w:p>
            <w:r>
              <w:rPr>
                <w:rFonts w:ascii="Times New Roman" w:cs="Times New Roman" w:eastAsia="Times New Roman" w:hAnsi="Times New Roman"/>
                <w:sz w:val="19"/>
                <w:szCs w:val="19"/>
              </w:rPr>
              <w:t xml:space="preserve">10%</w:t>
            </w:r>
          </w:p>
        </w:tc>
      </w:tr>
      <w:tr>
        <w:tc>
          <w:tcPr>
            <w:tcW w:type="dxa" w:w="7000"/>
            <w:tcMar>
              <w:top w:type="dxa" w:w="60"/>
              <w:left w:type="dxa" w:w="100"/>
              <w:bottom w:type="dxa" w:w="60"/>
              <w:right w:type="dxa" w:w="100"/>
            </w:tcMar>
          </w:tcPr>
          <w:p>
            <w:r>
              <w:rPr>
                <w:rFonts w:ascii="Times New Roman" w:cs="Times New Roman" w:eastAsia="Times New Roman" w:hAnsi="Times New Roman"/>
                <w:sz w:val="19"/>
                <w:szCs w:val="19"/>
              </w:rPr>
              <w:t xml:space="preserve">Known malware family signature match</w:t>
            </w:r>
          </w:p>
        </w:tc>
        <w:tc>
          <w:tcPr>
            <w:tcW w:type="dxa" w:w="2350"/>
            <w:tcMar>
              <w:top w:type="dxa" w:w="60"/>
              <w:left w:type="dxa" w:w="100"/>
              <w:bottom w:type="dxa" w:w="60"/>
              <w:right w:type="dxa" w:w="100"/>
            </w:tcMar>
          </w:tcPr>
          <w:p>
            <w:r>
              <w:rPr>
                <w:rFonts w:ascii="Times New Roman" w:cs="Times New Roman" w:eastAsia="Times New Roman" w:hAnsi="Times New Roman"/>
                <w:sz w:val="19"/>
                <w:szCs w:val="19"/>
              </w:rPr>
              <w:t xml:space="preserve">10%</w:t>
            </w:r>
          </w:p>
        </w:tc>
      </w:tr>
    </w:tbl>
    <w:p>
      <w:pPr>
        <w:spacing w:after="200" w:before="80"/>
        <w:jc w:val="center"/>
      </w:pPr>
      <w:r>
        <w:rPr>
          <w:rFonts w:ascii="Times New Roman" w:cs="Times New Roman" w:eastAsia="Times New Roman" w:hAnsi="Times New Roman"/>
          <w:i/>
          <w:iCs/>
          <w:sz w:val="19"/>
          <w:szCs w:val="19"/>
        </w:rPr>
        <w:t xml:space="preserve">TABLE I. ShieldNetX weighted risk-scoring model (total 100%)</w:t>
      </w:r>
    </w:p>
    <w:p>
      <w:pPr>
        <w:spacing w:after="140"/>
        <w:jc w:val="both"/>
      </w:pPr>
      <w:r>
        <w:rPr>
          <w:rFonts w:ascii="Times New Roman" w:cs="Times New Roman" w:eastAsia="Times New Roman" w:hAnsi="Times New Roman"/>
          <w:sz w:val="21"/>
          <w:szCs w:val="21"/>
        </w:rPr>
        <w:t xml:space="preserve">The weighted signal score is combined with an XGBoost classifier to produce a final 0–100 risk score. Every prediction is accompanied by SHAP (SHapley Additive exPlanations) value attribution, so the specific features driving a given score are explicit rather than opaque — essential when a score may trigger a real fraud-investigation workflow.</w:t>
      </w:r>
    </w:p>
    <w:p>
      <w:pPr>
        <w:spacing w:after="80" w:before="160"/>
      </w:pPr>
      <w:r>
        <w:rPr>
          <w:rFonts w:ascii="Times New Roman" w:cs="Times New Roman" w:eastAsia="Times New Roman" w:hAnsi="Times New Roman"/>
          <w:b/>
          <w:bCs/>
          <w:i/>
          <w:iCs/>
          <w:sz w:val="21"/>
          <w:szCs w:val="21"/>
        </w:rPr>
        <w:t xml:space="preserve">F. Layer 6 — Auto-Report</w:t>
      </w:r>
    </w:p>
    <w:p>
      <w:pPr>
        <w:spacing w:after="140"/>
        <w:jc w:val="both"/>
      </w:pPr>
      <w:r>
        <w:rPr>
          <w:rFonts w:ascii="Times New Roman" w:cs="Times New Roman" w:eastAsia="Times New Roman" w:hAnsi="Times New Roman"/>
          <w:sz w:val="21"/>
          <w:szCs w:val="21"/>
        </w:rPr>
        <w:t xml:space="preserve">The final layer compiles all preceding findings into a plain-English executive summary, an attack narrative, indicators of compromise (hashes and domains ready for firewall ingestion), the MITRE ATT&amp;CK mapping, recommended actions, and a draft CERT-In disclosure text — formatted for direct handoff to a bank's fraud or SOC team.</w:t>
      </w:r>
    </w:p>
    <w:p>
      <w:pPr>
        <w:pStyle w:val="Heading1"/>
        <w:spacing w:after="120" w:before="240"/>
      </w:pPr>
      <w:r>
        <w:rPr>
          <w:rFonts w:ascii="Times New Roman" w:cs="Times New Roman" w:eastAsia="Times New Roman" w:hAnsi="Times New Roman"/>
          <w:b/>
          <w:bCs/>
          <w:sz w:val="22"/>
          <w:szCs w:val="22"/>
        </w:rPr>
        <w:t xml:space="preserve">V. TECHNOLOGY STACK</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2600"/>
        <w:gridCol w:w="4200"/>
        <w:gridCol w:w="2550"/>
      </w:tblGrid>
      <w:tr>
        <w:trPr>
          <w:tblHeader/>
        </w:trPr>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Layer</w:t>
            </w:r>
          </w:p>
        </w:tc>
        <w:tc>
          <w:tcPr>
            <w:tcW w:type="dxa" w:w="4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Technology</w:t>
            </w:r>
          </w:p>
        </w:tc>
        <w:tc>
          <w:tcPr>
            <w:tcW w:type="dxa" w:w="25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Purpose</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Link Interceptor</w:t>
            </w:r>
          </w:p>
        </w:tc>
        <w:tc>
          <w:tcPr>
            <w:tcW w:type="dxa" w:w="4200"/>
            <w:tcMar>
              <w:top w:type="dxa" w:w="60"/>
              <w:left w:type="dxa" w:w="100"/>
              <w:bottom w:type="dxa" w:w="60"/>
              <w:right w:type="dxa" w:w="100"/>
            </w:tcMar>
          </w:tcPr>
          <w:p>
            <w:r>
              <w:rPr>
                <w:rFonts w:ascii="Times New Roman" w:cs="Times New Roman" w:eastAsia="Times New Roman" w:hAnsi="Times New Roman"/>
                <w:sz w:val="19"/>
                <w:szCs w:val="19"/>
              </w:rPr>
              <w:t xml:space="preserve">Chrome Extension API, Android (Kotlin/Java)</w:t>
            </w:r>
          </w:p>
        </w:tc>
        <w:tc>
          <w:tcPr>
            <w:tcW w:type="dxa" w:w="2550"/>
            <w:tcMar>
              <w:top w:type="dxa" w:w="60"/>
              <w:left w:type="dxa" w:w="100"/>
              <w:bottom w:type="dxa" w:w="60"/>
              <w:right w:type="dxa" w:w="100"/>
            </w:tcMar>
          </w:tcPr>
          <w:p>
            <w:r>
              <w:rPr>
                <w:rFonts w:ascii="Times New Roman" w:cs="Times New Roman" w:eastAsia="Times New Roman" w:hAnsi="Times New Roman"/>
                <w:sz w:val="19"/>
                <w:szCs w:val="19"/>
              </w:rPr>
              <w:t xml:space="preserve">Real-time phishing link detection</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Ingestion</w:t>
            </w:r>
          </w:p>
        </w:tc>
        <w:tc>
          <w:tcPr>
            <w:tcW w:type="dxa" w:w="4200"/>
            <w:tcMar>
              <w:top w:type="dxa" w:w="60"/>
              <w:left w:type="dxa" w:w="100"/>
              <w:bottom w:type="dxa" w:w="60"/>
              <w:right w:type="dxa" w:w="100"/>
            </w:tcMar>
          </w:tcPr>
          <w:p>
            <w:r>
              <w:rPr>
                <w:rFonts w:ascii="Times New Roman" w:cs="Times New Roman" w:eastAsia="Times New Roman" w:hAnsi="Times New Roman"/>
                <w:sz w:val="19"/>
                <w:szCs w:val="19"/>
              </w:rPr>
              <w:t xml:space="preserve">FastAPI + Kafka (roadmap)</w:t>
            </w:r>
          </w:p>
        </w:tc>
        <w:tc>
          <w:tcPr>
            <w:tcW w:type="dxa" w:w="2550"/>
            <w:tcMar>
              <w:top w:type="dxa" w:w="60"/>
              <w:left w:type="dxa" w:w="100"/>
              <w:bottom w:type="dxa" w:w="60"/>
              <w:right w:type="dxa" w:w="100"/>
            </w:tcMar>
          </w:tcPr>
          <w:p>
            <w:r>
              <w:rPr>
                <w:rFonts w:ascii="Times New Roman" w:cs="Times New Roman" w:eastAsia="Times New Roman" w:hAnsi="Times New Roman"/>
                <w:sz w:val="19"/>
                <w:szCs w:val="19"/>
              </w:rPr>
              <w:t xml:space="preserve">APK upload, async queuing, dedup</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Static Analysis</w:t>
            </w:r>
          </w:p>
        </w:tc>
        <w:tc>
          <w:tcPr>
            <w:tcW w:type="dxa" w:w="4200"/>
            <w:tcMar>
              <w:top w:type="dxa" w:w="60"/>
              <w:left w:type="dxa" w:w="100"/>
              <w:bottom w:type="dxa" w:w="60"/>
              <w:right w:type="dxa" w:w="100"/>
            </w:tcMar>
          </w:tcPr>
          <w:p>
            <w:r>
              <w:rPr>
                <w:rFonts w:ascii="Times New Roman" w:cs="Times New Roman" w:eastAsia="Times New Roman" w:hAnsi="Times New Roman"/>
                <w:sz w:val="19"/>
                <w:szCs w:val="19"/>
              </w:rPr>
              <w:t xml:space="preserve">JADX, Apktool, Androguard, YARA</w:t>
            </w:r>
          </w:p>
        </w:tc>
        <w:tc>
          <w:tcPr>
            <w:tcW w:type="dxa" w:w="2550"/>
            <w:tcMar>
              <w:top w:type="dxa" w:w="60"/>
              <w:left w:type="dxa" w:w="100"/>
              <w:bottom w:type="dxa" w:w="60"/>
              <w:right w:type="dxa" w:w="100"/>
            </w:tcMar>
          </w:tcPr>
          <w:p>
            <w:r>
              <w:rPr>
                <w:rFonts w:ascii="Times New Roman" w:cs="Times New Roman" w:eastAsia="Times New Roman" w:hAnsi="Times New Roman"/>
                <w:sz w:val="19"/>
                <w:szCs w:val="19"/>
              </w:rPr>
              <w:t xml:space="preserve">Decompilation, manifest parsing, rule matching</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Dynamic Analysis</w:t>
            </w:r>
          </w:p>
        </w:tc>
        <w:tc>
          <w:tcPr>
            <w:tcW w:type="dxa" w:w="4200"/>
            <w:tcMar>
              <w:top w:type="dxa" w:w="60"/>
              <w:left w:type="dxa" w:w="100"/>
              <w:bottom w:type="dxa" w:w="60"/>
              <w:right w:type="dxa" w:w="100"/>
            </w:tcMar>
          </w:tcPr>
          <w:p>
            <w:r>
              <w:rPr>
                <w:rFonts w:ascii="Times New Roman" w:cs="Times New Roman" w:eastAsia="Times New Roman" w:hAnsi="Times New Roman"/>
                <w:sz w:val="19"/>
                <w:szCs w:val="19"/>
              </w:rPr>
              <w:t xml:space="preserve">Android Emulator + Frida + mitmproxy</w:t>
            </w:r>
          </w:p>
        </w:tc>
        <w:tc>
          <w:tcPr>
            <w:tcW w:type="dxa" w:w="2550"/>
            <w:tcMar>
              <w:top w:type="dxa" w:w="60"/>
              <w:left w:type="dxa" w:w="100"/>
              <w:bottom w:type="dxa" w:w="60"/>
              <w:right w:type="dxa" w:w="100"/>
            </w:tcMar>
          </w:tcPr>
          <w:p>
            <w:r>
              <w:rPr>
                <w:rFonts w:ascii="Times New Roman" w:cs="Times New Roman" w:eastAsia="Times New Roman" w:hAnsi="Times New Roman"/>
                <w:sz w:val="19"/>
                <w:szCs w:val="19"/>
              </w:rPr>
              <w:t xml:space="preserve">Runtime behaviour, network interception</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GenAI Engine</w:t>
            </w:r>
          </w:p>
        </w:tc>
        <w:tc>
          <w:tcPr>
            <w:tcW w:type="dxa" w:w="4200"/>
            <w:tcMar>
              <w:top w:type="dxa" w:w="60"/>
              <w:left w:type="dxa" w:w="100"/>
              <w:bottom w:type="dxa" w:w="60"/>
              <w:right w:type="dxa" w:w="100"/>
            </w:tcMar>
          </w:tcPr>
          <w:p>
            <w:r>
              <w:rPr>
                <w:rFonts w:ascii="Times New Roman" w:cs="Times New Roman" w:eastAsia="Times New Roman" w:hAnsi="Times New Roman"/>
                <w:sz w:val="19"/>
                <w:szCs w:val="19"/>
              </w:rPr>
              <w:t xml:space="preserve">Claude API (primary) → Gemini free tier (backup) → Qwen2.5-Coder 7B via Ollama (offline fallback)</w:t>
            </w:r>
          </w:p>
        </w:tc>
        <w:tc>
          <w:tcPr>
            <w:tcW w:type="dxa" w:w="2550"/>
            <w:tcMar>
              <w:top w:type="dxa" w:w="60"/>
              <w:left w:type="dxa" w:w="100"/>
              <w:bottom w:type="dxa" w:w="60"/>
              <w:right w:type="dxa" w:w="100"/>
            </w:tcMar>
          </w:tcPr>
          <w:p>
            <w:r>
              <w:rPr>
                <w:rFonts w:ascii="Times New Roman" w:cs="Times New Roman" w:eastAsia="Times New Roman" w:hAnsi="Times New Roman"/>
                <w:sz w:val="19"/>
                <w:szCs w:val="19"/>
              </w:rPr>
              <w:t xml:space="preserve">Code summarization, intent reasoning, malware family hypothesis</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Risk Scoring</w:t>
            </w:r>
          </w:p>
        </w:tc>
        <w:tc>
          <w:tcPr>
            <w:tcW w:type="dxa" w:w="4200"/>
            <w:tcMar>
              <w:top w:type="dxa" w:w="60"/>
              <w:left w:type="dxa" w:w="100"/>
              <w:bottom w:type="dxa" w:w="60"/>
              <w:right w:type="dxa" w:w="100"/>
            </w:tcMar>
          </w:tcPr>
          <w:p>
            <w:r>
              <w:rPr>
                <w:rFonts w:ascii="Times New Roman" w:cs="Times New Roman" w:eastAsia="Times New Roman" w:hAnsi="Times New Roman"/>
                <w:sz w:val="19"/>
                <w:szCs w:val="19"/>
              </w:rPr>
              <w:t xml:space="preserve">XGBoost + SHAP</w:t>
            </w:r>
          </w:p>
        </w:tc>
        <w:tc>
          <w:tcPr>
            <w:tcW w:type="dxa" w:w="2550"/>
            <w:tcMar>
              <w:top w:type="dxa" w:w="60"/>
              <w:left w:type="dxa" w:w="100"/>
              <w:bottom w:type="dxa" w:w="60"/>
              <w:right w:type="dxa" w:w="100"/>
            </w:tcMar>
          </w:tcPr>
          <w:p>
            <w:r>
              <w:rPr>
                <w:rFonts w:ascii="Times New Roman" w:cs="Times New Roman" w:eastAsia="Times New Roman" w:hAnsi="Times New Roman"/>
                <w:sz w:val="19"/>
                <w:szCs w:val="19"/>
              </w:rPr>
              <w:t xml:space="preserve">ML scoring and explainability</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Storage</w:t>
            </w:r>
          </w:p>
        </w:tc>
        <w:tc>
          <w:tcPr>
            <w:tcW w:type="dxa" w:w="4200"/>
            <w:tcMar>
              <w:top w:type="dxa" w:w="60"/>
              <w:left w:type="dxa" w:w="100"/>
              <w:bottom w:type="dxa" w:w="60"/>
              <w:right w:type="dxa" w:w="100"/>
            </w:tcMar>
          </w:tcPr>
          <w:p>
            <w:r>
              <w:rPr>
                <w:rFonts w:ascii="Times New Roman" w:cs="Times New Roman" w:eastAsia="Times New Roman" w:hAnsi="Times New Roman"/>
                <w:sz w:val="19"/>
                <w:szCs w:val="19"/>
              </w:rPr>
              <w:t xml:space="preserve">PostgreSQL, Redis</w:t>
            </w:r>
          </w:p>
        </w:tc>
        <w:tc>
          <w:tcPr>
            <w:tcW w:type="dxa" w:w="2550"/>
            <w:tcMar>
              <w:top w:type="dxa" w:w="60"/>
              <w:left w:type="dxa" w:w="100"/>
              <w:bottom w:type="dxa" w:w="60"/>
              <w:right w:type="dxa" w:w="100"/>
            </w:tcMar>
          </w:tcPr>
          <w:p>
            <w:r>
              <w:rPr>
                <w:rFonts w:ascii="Times New Roman" w:cs="Times New Roman" w:eastAsia="Times New Roman" w:hAnsi="Times New Roman"/>
                <w:sz w:val="19"/>
                <w:szCs w:val="19"/>
              </w:rPr>
              <w:t xml:space="preserve">Metadata, dedup cache</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Reporting</w:t>
            </w:r>
          </w:p>
        </w:tc>
        <w:tc>
          <w:tcPr>
            <w:tcW w:type="dxa" w:w="4200"/>
            <w:tcMar>
              <w:top w:type="dxa" w:w="60"/>
              <w:left w:type="dxa" w:w="100"/>
              <w:bottom w:type="dxa" w:w="60"/>
              <w:right w:type="dxa" w:w="100"/>
            </w:tcMar>
          </w:tcPr>
          <w:p>
            <w:r>
              <w:rPr>
                <w:rFonts w:ascii="Times New Roman" w:cs="Times New Roman" w:eastAsia="Times New Roman" w:hAnsi="Times New Roman"/>
                <w:sz w:val="19"/>
                <w:szCs w:val="19"/>
              </w:rPr>
              <w:t xml:space="preserve">LLM auto-generated</w:t>
            </w:r>
          </w:p>
        </w:tc>
        <w:tc>
          <w:tcPr>
            <w:tcW w:type="dxa" w:w="2550"/>
            <w:tcMar>
              <w:top w:type="dxa" w:w="60"/>
              <w:left w:type="dxa" w:w="100"/>
              <w:bottom w:type="dxa" w:w="60"/>
              <w:right w:type="dxa" w:w="100"/>
            </w:tcMar>
          </w:tcPr>
          <w:p>
            <w:r>
              <w:rPr>
                <w:rFonts w:ascii="Times New Roman" w:cs="Times New Roman" w:eastAsia="Times New Roman" w:hAnsi="Times New Roman"/>
                <w:sz w:val="19"/>
                <w:szCs w:val="19"/>
              </w:rPr>
              <w:t xml:space="preserve">Executive summary, IOC extraction, MITRE mapping</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Roadmap / Enterprise</w:t>
            </w:r>
          </w:p>
        </w:tc>
        <w:tc>
          <w:tcPr>
            <w:tcW w:type="dxa" w:w="4200"/>
            <w:tcMar>
              <w:top w:type="dxa" w:w="60"/>
              <w:left w:type="dxa" w:w="100"/>
              <w:bottom w:type="dxa" w:w="60"/>
              <w:right w:type="dxa" w:w="100"/>
            </w:tcMar>
          </w:tcPr>
          <w:p>
            <w:r>
              <w:rPr>
                <w:rFonts w:ascii="Times New Roman" w:cs="Times New Roman" w:eastAsia="Times New Roman" w:hAnsi="Times New Roman"/>
                <w:sz w:val="19"/>
                <w:szCs w:val="19"/>
              </w:rPr>
              <w:t xml:space="preserve">Kubernetes, Kafka clustering, Splunk/QRadar/XSOAR, MISP, Pinecone/CLIP</w:t>
            </w:r>
          </w:p>
        </w:tc>
        <w:tc>
          <w:tcPr>
            <w:tcW w:type="dxa" w:w="2550"/>
            <w:tcMar>
              <w:top w:type="dxa" w:w="60"/>
              <w:left w:type="dxa" w:w="100"/>
              <w:bottom w:type="dxa" w:w="60"/>
              <w:right w:type="dxa" w:w="100"/>
            </w:tcMar>
          </w:tcPr>
          <w:p>
            <w:r>
              <w:rPr>
                <w:rFonts w:ascii="Times New Roman" w:cs="Times New Roman" w:eastAsia="Times New Roman" w:hAnsi="Times New Roman"/>
                <w:sz w:val="19"/>
                <w:szCs w:val="19"/>
              </w:rPr>
              <w:t xml:space="preserve">Production-scale deployment, SIEM/SOAR integration</w:t>
            </w:r>
          </w:p>
        </w:tc>
      </w:tr>
    </w:tbl>
    <w:p>
      <w:pPr>
        <w:spacing w:after="200" w:before="80"/>
        <w:jc w:val="center"/>
      </w:pPr>
      <w:r>
        <w:rPr>
          <w:rFonts w:ascii="Times New Roman" w:cs="Times New Roman" w:eastAsia="Times New Roman" w:hAnsi="Times New Roman"/>
          <w:i/>
          <w:iCs/>
          <w:sz w:val="19"/>
          <w:szCs w:val="19"/>
        </w:rPr>
        <w:t xml:space="preserve">TABLE II. ShieldNetX complete technology stack</w:t>
      </w:r>
    </w:p>
    <w:p>
      <w:pPr>
        <w:pStyle w:val="Heading1"/>
        <w:spacing w:after="120" w:before="240"/>
      </w:pPr>
      <w:r>
        <w:rPr>
          <w:rFonts w:ascii="Times New Roman" w:cs="Times New Roman" w:eastAsia="Times New Roman" w:hAnsi="Times New Roman"/>
          <w:b/>
          <w:bCs/>
          <w:sz w:val="22"/>
          <w:szCs w:val="22"/>
        </w:rPr>
        <w:t xml:space="preserve">VI. NOVELTY AND DIFFERENTIATION</w:t>
      </w:r>
    </w:p>
    <w:p>
      <w:pPr>
        <w:pStyle w:val="ListParagraph"/>
        <w:numPr>
          <w:ilvl w:val="0"/>
          <w:numId w:val="2"/>
        </w:numPr>
        <w:spacing w:after="80"/>
      </w:pPr>
      <w:r>
        <w:rPr>
          <w:rFonts w:ascii="Times New Roman" w:cs="Times New Roman" w:eastAsia="Times New Roman" w:hAnsi="Times New Roman"/>
          <w:sz w:val="21"/>
          <w:szCs w:val="21"/>
        </w:rPr>
        <w:t xml:space="preserve">VirusTotal-style tools are manual and reactive — an analyst must submit a hash or link, and only known, registered threats are flagged. ShieldNetX reasons about intent via GenAI, catching unseen, novel malware.</w:t>
      </w:r>
    </w:p>
    <w:p>
      <w:pPr>
        <w:pStyle w:val="ListParagraph"/>
        <w:numPr>
          <w:ilvl w:val="0"/>
          <w:numId w:val="2"/>
        </w:numPr>
        <w:spacing w:after="80"/>
      </w:pPr>
      <w:r>
        <w:rPr>
          <w:rFonts w:ascii="Times New Roman" w:cs="Times New Roman" w:eastAsia="Times New Roman" w:hAnsi="Times New Roman"/>
          <w:sz w:val="21"/>
          <w:szCs w:val="21"/>
        </w:rPr>
        <w:t xml:space="preserve">Real-time interception, not lookup-after-the-fact — the Link Interceptor catches the threat at the point of click, proven against the team's own live attacker site.</w:t>
      </w:r>
    </w:p>
    <w:p>
      <w:pPr>
        <w:pStyle w:val="ListParagraph"/>
        <w:numPr>
          <w:ilvl w:val="0"/>
          <w:numId w:val="2"/>
        </w:numPr>
        <w:spacing w:after="80"/>
      </w:pPr>
      <w:r>
        <w:rPr>
          <w:rFonts w:ascii="Times New Roman" w:cs="Times New Roman" w:eastAsia="Times New Roman" w:hAnsi="Times New Roman"/>
          <w:sz w:val="21"/>
          <w:szCs w:val="21"/>
        </w:rPr>
        <w:t xml:space="preserve">Full kill-chain coverage — link vector (Interceptor) through app vector (APK Analyzer) to attacker attribution (TraceNetX), an end-to-end fraud-prevention story rather than a single-point tool.</w:t>
      </w:r>
    </w:p>
    <w:p>
      <w:pPr>
        <w:pStyle w:val="ListParagraph"/>
        <w:numPr>
          <w:ilvl w:val="0"/>
          <w:numId w:val="2"/>
        </w:numPr>
        <w:spacing w:after="80"/>
      </w:pPr>
      <w:r>
        <w:rPr>
          <w:rFonts w:ascii="Times New Roman" w:cs="Times New Roman" w:eastAsia="Times New Roman" w:hAnsi="Times New Roman"/>
          <w:sz w:val="21"/>
          <w:szCs w:val="21"/>
        </w:rPr>
        <w:t xml:space="preserve">Explainable AI, not a black box — SHAP scores and GenAI narrative reports let analysts and regulators see exactly why an application was flagged.</w:t>
      </w:r>
    </w:p>
    <w:p>
      <w:pPr>
        <w:pStyle w:val="Heading1"/>
        <w:spacing w:after="120" w:before="240"/>
      </w:pPr>
      <w:r>
        <w:rPr>
          <w:rFonts w:ascii="Times New Roman" w:cs="Times New Roman" w:eastAsia="Times New Roman" w:hAnsi="Times New Roman"/>
          <w:b/>
          <w:bCs/>
          <w:sz w:val="22"/>
          <w:szCs w:val="22"/>
        </w:rPr>
        <w:t xml:space="preserve">VII. IMPLEMENTATION SCOPE</w:t>
      </w:r>
    </w:p>
    <w:p>
      <w:pPr>
        <w:spacing w:after="80" w:before="160"/>
      </w:pPr>
      <w:r>
        <w:rPr>
          <w:rFonts w:ascii="Times New Roman" w:cs="Times New Roman" w:eastAsia="Times New Roman" w:hAnsi="Times New Roman"/>
          <w:b/>
          <w:bCs/>
          <w:i/>
          <w:iCs/>
          <w:sz w:val="21"/>
          <w:szCs w:val="21"/>
        </w:rPr>
        <w:t xml:space="preserve">A. Demonstrated in the prototype</w:t>
      </w:r>
    </w:p>
    <w:p>
      <w:pPr>
        <w:pStyle w:val="ListParagraph"/>
        <w:numPr>
          <w:ilvl w:val="0"/>
          <w:numId w:val="2"/>
        </w:numPr>
        <w:spacing w:after="80"/>
      </w:pPr>
      <w:r>
        <w:rPr>
          <w:rFonts w:ascii="Times New Roman" w:cs="Times New Roman" w:eastAsia="Times New Roman" w:hAnsi="Times New Roman"/>
          <w:sz w:val="21"/>
          <w:szCs w:val="21"/>
        </w:rPr>
        <w:t xml:space="preserve">Link Interceptor, demonstrated against a controlled attacker site and phishing sandbox</w:t>
      </w:r>
    </w:p>
    <w:p>
      <w:pPr>
        <w:pStyle w:val="ListParagraph"/>
        <w:numPr>
          <w:ilvl w:val="0"/>
          <w:numId w:val="2"/>
        </w:numPr>
        <w:spacing w:after="80"/>
      </w:pPr>
      <w:r>
        <w:rPr>
          <w:rFonts w:ascii="Times New Roman" w:cs="Times New Roman" w:eastAsia="Times New Roman" w:hAnsi="Times New Roman"/>
          <w:sz w:val="21"/>
          <w:szCs w:val="21"/>
        </w:rPr>
        <w:t xml:space="preserve">Static analysis (JADX, Apktool, Androguard) on real sample APKs</w:t>
      </w:r>
    </w:p>
    <w:p>
      <w:pPr>
        <w:pStyle w:val="ListParagraph"/>
        <w:numPr>
          <w:ilvl w:val="0"/>
          <w:numId w:val="2"/>
        </w:numPr>
        <w:spacing w:after="80"/>
      </w:pPr>
      <w:r>
        <w:rPr>
          <w:rFonts w:ascii="Times New Roman" w:cs="Times New Roman" w:eastAsia="Times New Roman" w:hAnsi="Times New Roman"/>
          <w:sz w:val="21"/>
          <w:szCs w:val="21"/>
        </w:rPr>
        <w:t xml:space="preserve">Dynamic analysis via Frida on an emulator instance</w:t>
      </w:r>
    </w:p>
    <w:p>
      <w:pPr>
        <w:pStyle w:val="ListParagraph"/>
        <w:numPr>
          <w:ilvl w:val="0"/>
          <w:numId w:val="2"/>
        </w:numPr>
        <w:spacing w:after="80"/>
      </w:pPr>
      <w:r>
        <w:rPr>
          <w:rFonts w:ascii="Times New Roman" w:cs="Times New Roman" w:eastAsia="Times New Roman" w:hAnsi="Times New Roman"/>
          <w:sz w:val="21"/>
          <w:szCs w:val="21"/>
        </w:rPr>
        <w:t xml:space="preserve">GenAI Brain — live code summarization and verdict via Claude or Gemini</w:t>
      </w:r>
    </w:p>
    <w:p>
      <w:pPr>
        <w:pStyle w:val="ListParagraph"/>
        <w:numPr>
          <w:ilvl w:val="0"/>
          <w:numId w:val="2"/>
        </w:numPr>
        <w:spacing w:after="80"/>
      </w:pPr>
      <w:r>
        <w:rPr>
          <w:rFonts w:ascii="Times New Roman" w:cs="Times New Roman" w:eastAsia="Times New Roman" w:hAnsi="Times New Roman"/>
          <w:sz w:val="21"/>
          <w:szCs w:val="21"/>
        </w:rPr>
        <w:t xml:space="preserve">XGBoost + SHAP scoring on a sample dataset</w:t>
      </w:r>
    </w:p>
    <w:p>
      <w:pPr>
        <w:spacing w:after="80" w:before="160"/>
      </w:pPr>
      <w:r>
        <w:rPr>
          <w:rFonts w:ascii="Times New Roman" w:cs="Times New Roman" w:eastAsia="Times New Roman" w:hAnsi="Times New Roman"/>
          <w:b/>
          <w:bCs/>
          <w:i/>
          <w:iCs/>
          <w:sz w:val="21"/>
          <w:szCs w:val="21"/>
        </w:rPr>
        <w:t xml:space="preserve">B. Planned for production scale-up</w:t>
      </w:r>
    </w:p>
    <w:p>
      <w:pPr>
        <w:pStyle w:val="ListParagraph"/>
        <w:numPr>
          <w:ilvl w:val="0"/>
          <w:numId w:val="2"/>
        </w:numPr>
        <w:spacing w:after="80"/>
      </w:pPr>
      <w:r>
        <w:rPr>
          <w:rFonts w:ascii="Times New Roman" w:cs="Times New Roman" w:eastAsia="Times New Roman" w:hAnsi="Times New Roman"/>
          <w:sz w:val="21"/>
          <w:szCs w:val="21"/>
        </w:rPr>
        <w:t xml:space="preserve">Kubernetes / Docker scaling and Kafka clustering</w:t>
      </w:r>
    </w:p>
    <w:p>
      <w:pPr>
        <w:pStyle w:val="ListParagraph"/>
        <w:numPr>
          <w:ilvl w:val="0"/>
          <w:numId w:val="2"/>
        </w:numPr>
        <w:spacing w:after="80"/>
      </w:pPr>
      <w:r>
        <w:rPr>
          <w:rFonts w:ascii="Times New Roman" w:cs="Times New Roman" w:eastAsia="Times New Roman" w:hAnsi="Times New Roman"/>
          <w:sz w:val="21"/>
          <w:szCs w:val="21"/>
        </w:rPr>
        <w:t xml:space="preserve">Pinecone / CLIP-based visual banking-logo similarity search</w:t>
      </w:r>
    </w:p>
    <w:p>
      <w:pPr>
        <w:pStyle w:val="ListParagraph"/>
        <w:numPr>
          <w:ilvl w:val="0"/>
          <w:numId w:val="2"/>
        </w:numPr>
        <w:spacing w:after="80"/>
      </w:pPr>
      <w:r>
        <w:rPr>
          <w:rFonts w:ascii="Times New Roman" w:cs="Times New Roman" w:eastAsia="Times New Roman" w:hAnsi="Times New Roman"/>
          <w:sz w:val="21"/>
          <w:szCs w:val="21"/>
        </w:rPr>
        <w:t xml:space="preserve">Splunk / QRadar / XSOAR / MISP SIEM and SOAR integrations</w:t>
      </w:r>
    </w:p>
    <w:p>
      <w:pPr>
        <w:pStyle w:val="ListParagraph"/>
        <w:numPr>
          <w:ilvl w:val="0"/>
          <w:numId w:val="2"/>
        </w:numPr>
        <w:spacing w:after="80"/>
      </w:pPr>
      <w:r>
        <w:rPr>
          <w:rFonts w:ascii="Times New Roman" w:cs="Times New Roman" w:eastAsia="Times New Roman" w:hAnsi="Times New Roman"/>
          <w:sz w:val="21"/>
          <w:szCs w:val="21"/>
        </w:rPr>
        <w:t xml:space="preserve">Full phased seven-month production rollout</w:t>
      </w:r>
    </w:p>
    <w:p>
      <w:pPr>
        <w:pStyle w:val="Heading1"/>
        <w:spacing w:after="120" w:before="240"/>
      </w:pPr>
      <w:r>
        <w:rPr>
          <w:rFonts w:ascii="Times New Roman" w:cs="Times New Roman" w:eastAsia="Times New Roman" w:hAnsi="Times New Roman"/>
          <w:b/>
          <w:bCs/>
          <w:sz w:val="22"/>
          <w:szCs w:val="22"/>
        </w:rPr>
        <w:t xml:space="preserve">VIII. COST AND FEASIBILITY</w:t>
      </w:r>
    </w:p>
    <w:p>
      <w:pPr>
        <w:spacing w:after="140"/>
        <w:jc w:val="both"/>
      </w:pPr>
      <w:r>
        <w:rPr>
          <w:rFonts w:ascii="Times New Roman" w:cs="Times New Roman" w:eastAsia="Times New Roman" w:hAnsi="Times New Roman"/>
          <w:sz w:val="21"/>
          <w:szCs w:val="21"/>
        </w:rPr>
        <w:t xml:space="preserve">Every core detection component — JADX, Apktool, Androguard, YARA, Frida, the Android Emulator, mitmproxy, XGBoost, SHAP, PostgreSQL, Redis, and the Chrome extension and Android application themselves — is free and open source. The Claude API is billed per token but remains inexpensive at hackathon-demo scale; the Gemini free tier serves as a genuinely usable, cost-safe backup, and a locally hosted Qwen2.5-Coder 7B model served via Ollama on an RTX 4050 GPU provides a completely free, fully offline last resort if both APIs are unavailable, at the cost of weaker reasoning quality.</w:t>
      </w:r>
    </w:p>
    <w:p>
      <w:pPr>
        <w:pStyle w:val="Heading1"/>
        <w:spacing w:after="120" w:before="240"/>
      </w:pPr>
      <w:r>
        <w:rPr>
          <w:rFonts w:ascii="Times New Roman" w:cs="Times New Roman" w:eastAsia="Times New Roman" w:hAnsi="Times New Roman"/>
          <w:b/>
          <w:bCs/>
          <w:sz w:val="22"/>
          <w:szCs w:val="22"/>
        </w:rPr>
        <w:t xml:space="preserve">IX. COMPLIANCE AND REGULATORY ALIGNMENT</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3600"/>
        <w:gridCol w:w="5750"/>
      </w:tblGrid>
      <w:tr>
        <w:trPr>
          <w:tblHeader/>
        </w:trPr>
        <w:tc>
          <w:tcPr>
            <w:tcW w:type="dxa" w:w="3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Framework / Regulation</w:t>
            </w:r>
          </w:p>
        </w:tc>
        <w:tc>
          <w:tcPr>
            <w:tcW w:type="dxa" w:w="57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Alignment</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RBI IT Framework 2011</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Cybersecurity governance and incident reporting</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RBI Cybersecurity Framework 2016</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Threat intelligence and vulnerability management</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CERT-In Guidelines</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Mandatory incident reporting within 6 hours — draft disclosure auto-generated</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ISO 27001:2022</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Information security management system alignment</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SOC 2 Type II</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Security, availability, and confidentiality controls</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PCI DSS v4.0</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Protection of payment-card environments</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DPDP Act 2023</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Personal data protection</w:t>
            </w:r>
          </w:p>
        </w:tc>
      </w:tr>
    </w:tbl>
    <w:p>
      <w:pPr>
        <w:spacing w:after="200" w:before="80"/>
        <w:jc w:val="center"/>
      </w:pPr>
      <w:r>
        <w:rPr>
          <w:rFonts w:ascii="Times New Roman" w:cs="Times New Roman" w:eastAsia="Times New Roman" w:hAnsi="Times New Roman"/>
          <w:i/>
          <w:iCs/>
          <w:sz w:val="19"/>
          <w:szCs w:val="19"/>
        </w:rPr>
        <w:t xml:space="preserve">TABLE III. ShieldNetX regulatory and compliance mapping</w:t>
      </w:r>
    </w:p>
    <w:p>
      <w:pPr>
        <w:pStyle w:val="Heading1"/>
        <w:spacing w:after="120" w:before="240"/>
      </w:pPr>
      <w:r>
        <w:rPr>
          <w:rFonts w:ascii="Times New Roman" w:cs="Times New Roman" w:eastAsia="Times New Roman" w:hAnsi="Times New Roman"/>
          <w:b/>
          <w:bCs/>
          <w:sz w:val="22"/>
          <w:szCs w:val="22"/>
        </w:rPr>
        <w:t xml:space="preserve">X. CONCLUSION</w:t>
      </w:r>
    </w:p>
    <w:p>
      <w:pPr>
        <w:spacing w:after="140"/>
        <w:jc w:val="both"/>
      </w:pPr>
      <w:r>
        <w:rPr>
          <w:rFonts w:ascii="Times New Roman" w:cs="Times New Roman" w:eastAsia="Times New Roman" w:hAnsi="Times New Roman"/>
          <w:sz w:val="21"/>
          <w:szCs w:val="21"/>
        </w:rPr>
        <w:t xml:space="preserve">ShieldNetX demonstrates that a GenAI-augmented defence platform can meaningfully shorten the fraudulent-APK response window from days to minutes without depending on expensive proprietary infrastructure. By combining a proven, live link-interception layer with a six-layer automated APK-analysis pipeline that reasons about intent rather than relying on static signatures, and by attaching SHAP-based explainability to every score, ShieldNetX delivers an investigator-ready, regulator-defensible output at each stage of the pipeline. Beyond Problem Statement 1, the APK Analyzer is designed as one layer of the team's broader CyberNetX fraud-prevention suite — the Link Interceptor already protects the link vector, and TraceNetX, described in the companion paper below, traces attacker infrastructure once fraud is detected.</w:t>
      </w:r>
    </w:p>
    <w:p>
      <w:pPr>
        <w:pStyle w:val="Heading1"/>
        <w:spacing w:after="120" w:before="240"/>
      </w:pPr>
      <w:r>
        <w:rPr>
          <w:rFonts w:ascii="Times New Roman" w:cs="Times New Roman" w:eastAsia="Times New Roman" w:hAnsi="Times New Roman"/>
          <w:b/>
          <w:bCs/>
          <w:sz w:val="22"/>
          <w:szCs w:val="22"/>
        </w:rPr>
        <w:t xml:space="preserve">ACKNOWLEDGMENT</w:t>
      </w:r>
    </w:p>
    <w:p>
      <w:pPr>
        <w:spacing w:after="140"/>
        <w:jc w:val="both"/>
      </w:pPr>
      <w:r>
        <w:rPr>
          <w:rFonts w:ascii="Times New Roman" w:cs="Times New Roman" w:eastAsia="Times New Roman" w:hAnsi="Times New Roman"/>
          <w:sz w:val="21"/>
          <w:szCs w:val="21"/>
        </w:rPr>
        <w:t xml:space="preserve">The authors thank the organisers of the Bank of India CyberShield Hackathon 2026 for the opportunity to develop this prototype under Problem Statement 1, and Sri Sairam Engineering College for its continued support of student-led security research.</w:t>
      </w:r>
    </w:p>
    <w:p>
      <w:pPr>
        <w:pStyle w:val="Heading1"/>
        <w:spacing w:after="120" w:before="240"/>
      </w:pPr>
      <w:r>
        <w:rPr>
          <w:rFonts w:ascii="Times New Roman" w:cs="Times New Roman" w:eastAsia="Times New Roman" w:hAnsi="Times New Roman"/>
          <w:b/>
          <w:bCs/>
          <w:sz w:val="22"/>
          <w:szCs w:val="22"/>
        </w:rPr>
        <w:t xml:space="preserve">REFERENCES</w:t>
      </w:r>
    </w:p>
    <w:p>
      <w:pPr>
        <w:spacing w:after="100"/>
      </w:pPr>
      <w:r>
        <w:rPr>
          <w:rFonts w:ascii="Times New Roman" w:cs="Times New Roman" w:eastAsia="Times New Roman" w:hAnsi="Times New Roman"/>
          <w:sz w:val="19"/>
          <w:szCs w:val="19"/>
        </w:rPr>
        <w:t xml:space="preserve">[1]  A. Desnos, "Androguard: Reverse engineering, malware and goodware analysis of Android applications," GitHub repository. [Online]. Available: https://github.com/androguard/androguard</w:t>
      </w:r>
    </w:p>
    <w:p>
      <w:pPr>
        <w:spacing w:after="100"/>
      </w:pPr>
      <w:r>
        <w:rPr>
          <w:rFonts w:ascii="Times New Roman" w:cs="Times New Roman" w:eastAsia="Times New Roman" w:hAnsi="Times New Roman"/>
          <w:sz w:val="19"/>
          <w:szCs w:val="19"/>
        </w:rPr>
        <w:t xml:space="preserve">[2]  Frida Project, "Frida: A world-class dynamic instrumentation toolkit," [Online]. Available: https://frida.re</w:t>
      </w:r>
    </w:p>
    <w:p>
      <w:pPr>
        <w:spacing w:after="100"/>
      </w:pPr>
      <w:r>
        <w:rPr>
          <w:rFonts w:ascii="Times New Roman" w:cs="Times New Roman" w:eastAsia="Times New Roman" w:hAnsi="Times New Roman"/>
          <w:sz w:val="19"/>
          <w:szCs w:val="19"/>
        </w:rPr>
        <w:t xml:space="preserve">[3]  T. Chen and C. Guestrin, "XGBoost: A Scalable Tree Boosting System," in Proc. 22nd ACM SIGKDD Int. Conf. Knowledge Discovery and Data Mining, 2016, pp. 785–794.</w:t>
      </w:r>
    </w:p>
    <w:p>
      <w:pPr>
        <w:spacing w:after="100"/>
      </w:pPr>
      <w:r>
        <w:rPr>
          <w:rFonts w:ascii="Times New Roman" w:cs="Times New Roman" w:eastAsia="Times New Roman" w:hAnsi="Times New Roman"/>
          <w:sz w:val="19"/>
          <w:szCs w:val="19"/>
        </w:rPr>
        <w:t xml:space="preserve">[4]  S. M. Lundberg and S.-I. Lee, "A Unified Approach to Interpreting Model Predictions," in Advances in Neural Information Processing Systems 30, 2017, pp. 4765–4774.</w:t>
      </w:r>
    </w:p>
    <w:p>
      <w:pPr>
        <w:spacing w:after="100"/>
      </w:pPr>
      <w:r>
        <w:rPr>
          <w:rFonts w:ascii="Times New Roman" w:cs="Times New Roman" w:eastAsia="Times New Roman" w:hAnsi="Times New Roman"/>
          <w:sz w:val="19"/>
          <w:szCs w:val="19"/>
        </w:rPr>
        <w:t xml:space="preserve">[5]  mitmproxy Project, "mitmproxy: An interactive HTTPS proxy," [Online]. Available: https://mitmproxy.org</w:t>
      </w:r>
    </w:p>
    <w:p>
      <w:pPr>
        <w:spacing w:after="100"/>
      </w:pPr>
      <w:r>
        <w:rPr>
          <w:rFonts w:ascii="Times New Roman" w:cs="Times New Roman" w:eastAsia="Times New Roman" w:hAnsi="Times New Roman"/>
          <w:sz w:val="19"/>
          <w:szCs w:val="19"/>
        </w:rPr>
        <w:t xml:space="preserve">[6]  MITRE Corporation, "MITRE ATT&amp;CK for Mobile," [Online]. Available: https://attack.mitre.org/matrices/mobile/</w:t>
      </w:r>
    </w:p>
    <w:p>
      <w:pPr>
        <w:spacing w:after="100"/>
      </w:pPr>
      <w:r>
        <w:rPr>
          <w:rFonts w:ascii="Times New Roman" w:cs="Times New Roman" w:eastAsia="Times New Roman" w:hAnsi="Times New Roman"/>
          <w:sz w:val="19"/>
          <w:szCs w:val="19"/>
        </w:rPr>
        <w:t xml:space="preserve">[7]  Bank of India, "CyberShield Hackathon 2026 — Problem Statement 1: Generative AI-Based Automated Analysis and Risk Scoring of Fraudulent APKs," Hackathon problem statement document, 2026.</w:t>
      </w:r>
    </w:p>
    <w:p>
      <w:r>
        <w:br w:type="page"/>
      </w:r>
    </w:p>
    <w:p>
      <w:pPr>
        <w:spacing w:after="60"/>
        <w:jc w:val="center"/>
      </w:pPr>
      <w:r>
        <w:rPr>
          <w:rFonts w:ascii="Times New Roman" w:cs="Times New Roman" w:eastAsia="Times New Roman" w:hAnsi="Times New Roman"/>
          <w:b/>
          <w:bCs/>
          <w:sz w:val="30"/>
          <w:szCs w:val="30"/>
        </w:rPr>
        <w:t xml:space="preserve">TraceNetX v2.0</w:t>
      </w:r>
    </w:p>
    <w:p>
      <w:pPr>
        <w:spacing w:after="160"/>
        <w:jc w:val="center"/>
      </w:pPr>
      <w:r>
        <w:rPr>
          <w:rFonts w:ascii="Times New Roman" w:cs="Times New Roman" w:eastAsia="Times New Roman" w:hAnsi="Times New Roman"/>
          <w:b/>
          <w:bCs/>
          <w:i/>
          <w:iCs/>
          <w:sz w:val="22"/>
          <w:szCs w:val="22"/>
        </w:rPr>
        <w:t xml:space="preserve">Mule Account Intelligence and Criminal Network Disruption System</w:t>
      </w:r>
    </w:p>
    <w:p>
      <w:pPr>
        <w:spacing w:after="0"/>
        <w:jc w:val="center"/>
      </w:pPr>
      <w:r>
        <w:rPr>
          <w:rFonts w:ascii="Times New Roman" w:cs="Times New Roman" w:eastAsia="Times New Roman" w:hAnsi="Times New Roman"/>
          <w:i/>
          <w:iCs/>
          <w:sz w:val="20"/>
          <w:szCs w:val="20"/>
        </w:rPr>
        <w:t xml:space="preserve">Shravan Khanal, Rithwik, Kirthik, Anisha</w:t>
      </w:r>
    </w:p>
    <w:p>
      <w:pPr>
        <w:spacing w:after="0"/>
        <w:jc w:val="center"/>
      </w:pPr>
      <w:r>
        <w:rPr>
          <w:rFonts w:ascii="Times New Roman" w:cs="Times New Roman" w:eastAsia="Times New Roman" w:hAnsi="Times New Roman"/>
          <w:sz w:val="18"/>
          <w:szCs w:val="18"/>
        </w:rPr>
        <w:t xml:space="preserve">Dept. of Computer Science and Engineering (Cybersecurity)</w:t>
      </w:r>
    </w:p>
    <w:p>
      <w:pPr>
        <w:spacing w:after="0"/>
        <w:jc w:val="center"/>
      </w:pPr>
      <w:r>
        <w:rPr>
          <w:rFonts w:ascii="Times New Roman" w:cs="Times New Roman" w:eastAsia="Times New Roman" w:hAnsi="Times New Roman"/>
          <w:sz w:val="18"/>
          <w:szCs w:val="18"/>
        </w:rPr>
        <w:t xml:space="preserve">Sri Sairam Engineering College</w:t>
      </w:r>
    </w:p>
    <w:p>
      <w:pPr>
        <w:spacing w:after="200"/>
        <w:jc w:val="center"/>
      </w:pPr>
      <w:r>
        <w:rPr>
          <w:rFonts w:ascii="Times New Roman" w:cs="Times New Roman" w:eastAsia="Times New Roman" w:hAnsi="Times New Roman"/>
          <w:sz w:val="18"/>
          <w:szCs w:val="18"/>
        </w:rPr>
        <w:t xml:space="preserve">Chennai, India</w:t>
      </w:r>
    </w:p>
    <w:p>
      <w:pPr>
        <w:spacing w:after="100" w:before="200"/>
        <w:jc w:val="both"/>
      </w:pPr>
      <w:r>
        <w:rPr>
          <w:rFonts w:ascii="Times New Roman" w:cs="Times New Roman" w:eastAsia="Times New Roman" w:hAnsi="Times New Roman"/>
          <w:b/>
          <w:bCs/>
          <w:i/>
          <w:iCs/>
          <w:sz w:val="21"/>
          <w:szCs w:val="21"/>
        </w:rPr>
        <w:t xml:space="preserve">Abstract— </w:t>
      </w:r>
      <w:r>
        <w:rPr>
          <w:rFonts w:ascii="Times New Roman" w:cs="Times New Roman" w:eastAsia="Times New Roman" w:hAnsi="Times New Roman"/>
          <w:sz w:val="21"/>
          <w:szCs w:val="21"/>
        </w:rPr>
        <w:t xml:space="preserve">Mule accounts sit at the centre of nearly every large-scale financial-fraud operation, receiving and forwarding illicit funds on behalf of a coordinator who otherwise remains hidden behind layers of intermediaries. Most existing detection tools stop at classification — flagging an individual account as suspicious and leaving the surrounding network, and the coordinator behind it, undiscovered. This paper presents TraceNetX v2.0, a three-layer mule-account intelligence and criminal-network disruption system developed for Problem Statement 2 (AI/ML-Based Classification of Suspicious Mule Accounts) of the Bank of India CyberShield Hackathon 2026. Layer 1 (Detect) applies an ensemble of XGBoost, Random Forest, LightGBM, Isolation Forest, and LSTM models — trained on SMOTE-balanced, SHAP-selected features across all eighteen bank-hinted signal fields — to classify individual accounts. Layer 2 (Investigate) builds a Neo4j transaction graph and, critically, performs reverse chain analysis: rather than following money forward from a known mule, the system traces backward from the exit point of the funds, narrowing the network at each hop until the coordinating account emerges, typically within three to four hops. Layer 3 (Act) replaces a binary flag with a five-level graduated risk response, attaches a per-account SHAP explanation to every classification, and auto-generates a court-ready evidence package for direct handoff to ED/CBI investigators. Built on the foundation of TraceNetX, winner of the Red Shield Hackathon 2026, TraceNetX v2.0 is designed to compress an investigation that manually takes three to five days into a fully automated process completed in minutes.</w:t>
      </w:r>
    </w:p>
    <w:p>
      <w:pPr>
        <w:spacing w:after="200"/>
      </w:pPr>
      <w:r>
        <w:rPr>
          <w:rFonts w:ascii="Times New Roman" w:cs="Times New Roman" w:eastAsia="Times New Roman" w:hAnsi="Times New Roman"/>
          <w:b/>
          <w:bCs/>
          <w:i/>
          <w:iCs/>
          <w:sz w:val="21"/>
          <w:szCs w:val="21"/>
        </w:rPr>
        <w:t xml:space="preserve">Keywords— </w:t>
      </w:r>
      <w:r>
        <w:rPr>
          <w:rFonts w:ascii="Times New Roman" w:cs="Times New Roman" w:eastAsia="Times New Roman" w:hAnsi="Times New Roman"/>
          <w:i/>
          <w:iCs/>
          <w:sz w:val="21"/>
          <w:szCs w:val="21"/>
        </w:rPr>
        <w:t xml:space="preserve">Mule account detection, fraud network graph analysis, XGBoost, LSTM, Neo4j, reverse chain analysis, SHAP explainability, anti-money laundering, financial crime intelligence.</w:t>
      </w:r>
    </w:p>
    <w:p>
      <w:pPr>
        <w:pStyle w:val="Heading1"/>
        <w:spacing w:after="120" w:before="240"/>
      </w:pPr>
      <w:r>
        <w:rPr>
          <w:rFonts w:ascii="Times New Roman" w:cs="Times New Roman" w:eastAsia="Times New Roman" w:hAnsi="Times New Roman"/>
          <w:b/>
          <w:bCs/>
          <w:sz w:val="22"/>
          <w:szCs w:val="22"/>
        </w:rPr>
        <w:t xml:space="preserve">I. INTRODUCTION</w:t>
      </w:r>
    </w:p>
    <w:p>
      <w:pPr>
        <w:spacing w:after="140"/>
        <w:jc w:val="both"/>
      </w:pPr>
      <w:r>
        <w:rPr>
          <w:rFonts w:ascii="Times New Roman" w:cs="Times New Roman" w:eastAsia="Times New Roman" w:hAnsi="Times New Roman"/>
          <w:sz w:val="21"/>
          <w:szCs w:val="21"/>
        </w:rPr>
        <w:t xml:space="preserve">The criminal hides; his network does not. TraceNetX v2.0 is built around that premise: while every account-level classifier can flag a single suspicious node, the coordinator behind a mule-account network typically remains untouched, since investigators are left to manually trace transaction chains across dozens or hundreds of accounts — work the Enforcement Directorate currently performs by hand over months. TraceNetX v2.0 was developed specifically for Bank of India's CyberShield Hackathon 2026, Problem Statement 2 (AI/ML-Based Classification of Suspicious Mule Accounts), and goes beyond the literal classification ask to detect the mule, map the entire fraud network, trace backward to the coordinator, ethically distinguish willing criminals from unwitting victims, and deliver a court-ready evidence package.</w:t>
      </w:r>
    </w:p>
    <w:p>
      <w:pPr>
        <w:pStyle w:val="Heading1"/>
        <w:spacing w:after="120" w:before="240"/>
      </w:pPr>
      <w:r>
        <w:rPr>
          <w:rFonts w:ascii="Times New Roman" w:cs="Times New Roman" w:eastAsia="Times New Roman" w:hAnsi="Times New Roman"/>
          <w:b/>
          <w:bCs/>
          <w:sz w:val="22"/>
          <w:szCs w:val="22"/>
        </w:rPr>
        <w:t xml:space="preserve">II. SOLUTION ARCHITECTURE — THREE-LAYER INTELLIGENCE SYSTEM</w:t>
      </w:r>
    </w:p>
    <w:p>
      <w:pPr>
        <w:spacing w:after="140"/>
        <w:jc w:val="both"/>
      </w:pPr>
      <w:r>
        <w:rPr>
          <w:rFonts w:ascii="Times New Roman" w:cs="Times New Roman" w:eastAsia="Times New Roman" w:hAnsi="Times New Roman"/>
          <w:sz w:val="21"/>
          <w:szCs w:val="21"/>
        </w:rPr>
        <w:t xml:space="preserve">TraceNetX v2.0 is not a single classification model; it is a complete criminal-intelligence pipeline operating across three distinct layers, each catching what the previous layer misses: Detect, Investigate, and Act.</w:t>
      </w:r>
    </w:p>
    <w:p>
      <w:pPr>
        <w:spacing w:after="80" w:before="160"/>
      </w:pPr>
      <w:r>
        <w:rPr>
          <w:rFonts w:ascii="Times New Roman" w:cs="Times New Roman" w:eastAsia="Times New Roman" w:hAnsi="Times New Roman"/>
          <w:b/>
          <w:bCs/>
          <w:i/>
          <w:iCs/>
          <w:sz w:val="21"/>
          <w:szCs w:val="21"/>
        </w:rPr>
        <w:t xml:space="preserve">A. Layer 1 — Detect (AI/ML Classification Engine)</w:t>
      </w:r>
    </w:p>
    <w:p>
      <w:pPr>
        <w:spacing w:after="140"/>
        <w:jc w:val="both"/>
      </w:pPr>
      <w:r>
        <w:rPr>
          <w:rFonts w:ascii="Times New Roman" w:cs="Times New Roman" w:eastAsia="Times New Roman" w:hAnsi="Times New Roman"/>
          <w:sz w:val="21"/>
          <w:szCs w:val="21"/>
        </w:rPr>
        <w:t xml:space="preserve">Data Preprocessing: median-strategy missing-value imputation (robust to financial-data outliers), near-zero-variance feature removal, min-max normalization, SMOTE oversampling to correct the 81:9001 class imbalance, and a stratified train-test split to preserve class distribution.</w:t>
      </w:r>
    </w:p>
    <w:p>
      <w:pPr>
        <w:spacing w:after="140"/>
        <w:jc w:val="both"/>
      </w:pPr>
      <w:r>
        <w:rPr>
          <w:rFonts w:ascii="Times New Roman" w:cs="Times New Roman" w:eastAsia="Times New Roman" w:hAnsi="Times New Roman"/>
          <w:sz w:val="21"/>
          <w:szCs w:val="21"/>
        </w:rPr>
        <w:t xml:space="preserve">Feature Engineering: all eighteen bank-hinted features form the primary signal layer, augmented with transaction-velocity ratios (inflow rate vs. outflow rate per time window), behavioural-consistency scores, a coordination fingerprint measuring synchronized transaction timing across accounts, and SHAP-guided iterative selection narrowing roughly 3,924 candidate features to the top 50–100 predictive features.</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2100"/>
        <w:gridCol w:w="2700"/>
        <w:gridCol w:w="4550"/>
      </w:tblGrid>
      <w:tr>
        <w:trPr>
          <w:tblHeader/>
        </w:trPr>
        <w:tc>
          <w:tcPr>
            <w:tcW w:type="dxa" w:w="21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Model</w:t>
            </w:r>
          </w:p>
        </w:tc>
        <w:tc>
          <w:tcPr>
            <w:tcW w:type="dxa" w:w="27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Role</w:t>
            </w:r>
          </w:p>
        </w:tc>
        <w:tc>
          <w:tcPr>
            <w:tcW w:type="dxa" w:w="45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Why Selected</w:t>
            </w:r>
          </w:p>
        </w:tc>
      </w:tr>
      <w:tr>
        <w:tc>
          <w:tcPr>
            <w:tcW w:type="dxa" w:w="2100"/>
            <w:tcMar>
              <w:top w:type="dxa" w:w="60"/>
              <w:left w:type="dxa" w:w="100"/>
              <w:bottom w:type="dxa" w:w="60"/>
              <w:right w:type="dxa" w:w="100"/>
            </w:tcMar>
          </w:tcPr>
          <w:p>
            <w:r>
              <w:rPr>
                <w:rFonts w:ascii="Times New Roman" w:cs="Times New Roman" w:eastAsia="Times New Roman" w:hAnsi="Times New Roman"/>
                <w:sz w:val="19"/>
                <w:szCs w:val="19"/>
              </w:rPr>
              <w:t xml:space="preserve">XGBoost (primary)</w:t>
            </w:r>
          </w:p>
        </w:tc>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Main classification engine</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Best-in-class for tabular financial data; handles missing values natively</w:t>
            </w:r>
          </w:p>
        </w:tc>
      </w:tr>
      <w:tr>
        <w:tc>
          <w:tcPr>
            <w:tcW w:type="dxa" w:w="2100"/>
            <w:tcMar>
              <w:top w:type="dxa" w:w="60"/>
              <w:left w:type="dxa" w:w="100"/>
              <w:bottom w:type="dxa" w:w="60"/>
              <w:right w:type="dxa" w:w="100"/>
            </w:tcMar>
          </w:tcPr>
          <w:p>
            <w:r>
              <w:rPr>
                <w:rFonts w:ascii="Times New Roman" w:cs="Times New Roman" w:eastAsia="Times New Roman" w:hAnsi="Times New Roman"/>
                <w:sz w:val="19"/>
                <w:szCs w:val="19"/>
              </w:rPr>
              <w:t xml:space="preserve">Random Forest</w:t>
            </w:r>
          </w:p>
        </w:tc>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Ensemble member</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Robust to overfitting; strong with imbalanced classes</w:t>
            </w:r>
          </w:p>
        </w:tc>
      </w:tr>
      <w:tr>
        <w:tc>
          <w:tcPr>
            <w:tcW w:type="dxa" w:w="2100"/>
            <w:tcMar>
              <w:top w:type="dxa" w:w="60"/>
              <w:left w:type="dxa" w:w="100"/>
              <w:bottom w:type="dxa" w:w="60"/>
              <w:right w:type="dxa" w:w="100"/>
            </w:tcMar>
          </w:tcPr>
          <w:p>
            <w:r>
              <w:rPr>
                <w:rFonts w:ascii="Times New Roman" w:cs="Times New Roman" w:eastAsia="Times New Roman" w:hAnsi="Times New Roman"/>
                <w:sz w:val="19"/>
                <w:szCs w:val="19"/>
              </w:rPr>
              <w:t xml:space="preserve">LightGBM</w:t>
            </w:r>
          </w:p>
        </w:tc>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Ensemble member</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High speed; excellent on high-dimensional sparse data</w:t>
            </w:r>
          </w:p>
        </w:tc>
      </w:tr>
      <w:tr>
        <w:tc>
          <w:tcPr>
            <w:tcW w:type="dxa" w:w="2100"/>
            <w:tcMar>
              <w:top w:type="dxa" w:w="60"/>
              <w:left w:type="dxa" w:w="100"/>
              <w:bottom w:type="dxa" w:w="60"/>
              <w:right w:type="dxa" w:w="100"/>
            </w:tcMar>
          </w:tcPr>
          <w:p>
            <w:r>
              <w:rPr>
                <w:rFonts w:ascii="Times New Roman" w:cs="Times New Roman" w:eastAsia="Times New Roman" w:hAnsi="Times New Roman"/>
                <w:sz w:val="19"/>
                <w:szCs w:val="19"/>
              </w:rPr>
              <w:t xml:space="preserve">Isolation Forest</w:t>
            </w:r>
          </w:p>
        </w:tc>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Anomaly detection layer</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Detects mules with no prior label — catches first-time patterns</w:t>
            </w:r>
          </w:p>
        </w:tc>
      </w:tr>
      <w:tr>
        <w:tc>
          <w:tcPr>
            <w:tcW w:type="dxa" w:w="2100"/>
            <w:tcMar>
              <w:top w:type="dxa" w:w="60"/>
              <w:left w:type="dxa" w:w="100"/>
              <w:bottom w:type="dxa" w:w="60"/>
              <w:right w:type="dxa" w:w="100"/>
            </w:tcMar>
          </w:tcPr>
          <w:p>
            <w:r>
              <w:rPr>
                <w:rFonts w:ascii="Times New Roman" w:cs="Times New Roman" w:eastAsia="Times New Roman" w:hAnsi="Times New Roman"/>
                <w:sz w:val="19"/>
                <w:szCs w:val="19"/>
              </w:rPr>
              <w:t xml:space="preserve">LSTM</w:t>
            </w:r>
          </w:p>
        </w:tc>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Temporal pattern detection</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Learns mule account lifecycle sequences over time</w:t>
            </w:r>
          </w:p>
        </w:tc>
      </w:tr>
    </w:tbl>
    <w:p>
      <w:pPr>
        <w:spacing w:after="200" w:before="80"/>
        <w:jc w:val="center"/>
      </w:pPr>
      <w:r>
        <w:rPr>
          <w:rFonts w:ascii="Times New Roman" w:cs="Times New Roman" w:eastAsia="Times New Roman" w:hAnsi="Times New Roman"/>
          <w:i/>
          <w:iCs/>
          <w:sz w:val="19"/>
          <w:szCs w:val="19"/>
        </w:rPr>
        <w:t xml:space="preserve">TABLE I. TraceNetX v2.0 ML model ensemble</w:t>
      </w:r>
    </w:p>
    <w:p>
      <w:pPr>
        <w:spacing w:after="140"/>
        <w:jc w:val="both"/>
      </w:pPr>
      <w:r>
        <w:rPr>
          <w:rFonts w:ascii="Times New Roman" w:cs="Times New Roman" w:eastAsia="Times New Roman" w:hAnsi="Times New Roman"/>
          <w:sz w:val="21"/>
          <w:szCs w:val="21"/>
        </w:rPr>
        <w:t xml:space="preserve">Unlike models that treat account features as a static snapshot, the LSTM layer reads account behaviour as a story over time, detecting classic mule-lifecycle patterns: dormant reactivation (an account dormant for months, followed by small warm-up transactions, a sudden large inflow, and a rapid forward before returning to dormancy), delayed layering (funds received and held for days or weeks before being forwarded in a coordinated burst with other accounts), and velocity spikes (a normal baseline suddenly jumping to ten times the usual transaction frequency before returning to normal).</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2600"/>
        <w:gridCol w:w="1600"/>
        <w:gridCol w:w="5150"/>
      </w:tblGrid>
      <w:tr>
        <w:trPr>
          <w:tblHeader/>
        </w:trPr>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Metric</w:t>
            </w:r>
          </w:p>
        </w:tc>
        <w:tc>
          <w:tcPr>
            <w:tcW w:type="dxa" w:w="1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Target</w:t>
            </w:r>
          </w:p>
        </w:tc>
        <w:tc>
          <w:tcPr>
            <w:tcW w:type="dxa" w:w="51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Why This Metric Matters</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Recall (mule class)</w:t>
            </w:r>
          </w:p>
        </w:tc>
        <w:tc>
          <w:tcPr>
            <w:tcW w:type="dxa" w:w="1600"/>
            <w:tcMar>
              <w:top w:type="dxa" w:w="60"/>
              <w:left w:type="dxa" w:w="100"/>
              <w:bottom w:type="dxa" w:w="60"/>
              <w:right w:type="dxa" w:w="100"/>
            </w:tcMar>
          </w:tcPr>
          <w:p>
            <w:r>
              <w:rPr>
                <w:rFonts w:ascii="Times New Roman" w:cs="Times New Roman" w:eastAsia="Times New Roman" w:hAnsi="Times New Roman"/>
                <w:sz w:val="19"/>
                <w:szCs w:val="19"/>
              </w:rPr>
              <w:t xml:space="preserve">&gt; 85%</w:t>
            </w:r>
          </w:p>
        </w:tc>
        <w:tc>
          <w:tcPr>
            <w:tcW w:type="dxa" w:w="5150"/>
            <w:tcMar>
              <w:top w:type="dxa" w:w="60"/>
              <w:left w:type="dxa" w:w="100"/>
              <w:bottom w:type="dxa" w:w="60"/>
              <w:right w:type="dxa" w:w="100"/>
            </w:tcMar>
          </w:tcPr>
          <w:p>
            <w:r>
              <w:rPr>
                <w:rFonts w:ascii="Times New Roman" w:cs="Times New Roman" w:eastAsia="Times New Roman" w:hAnsi="Times New Roman"/>
                <w:sz w:val="19"/>
                <w:szCs w:val="19"/>
              </w:rPr>
              <w:t xml:space="preserve">Missing a mule is the worst outcome — catch as many as possible</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Precision (mule class)</w:t>
            </w:r>
          </w:p>
        </w:tc>
        <w:tc>
          <w:tcPr>
            <w:tcW w:type="dxa" w:w="1600"/>
            <w:tcMar>
              <w:top w:type="dxa" w:w="60"/>
              <w:left w:type="dxa" w:w="100"/>
              <w:bottom w:type="dxa" w:w="60"/>
              <w:right w:type="dxa" w:w="100"/>
            </w:tcMar>
          </w:tcPr>
          <w:p>
            <w:r>
              <w:rPr>
                <w:rFonts w:ascii="Times New Roman" w:cs="Times New Roman" w:eastAsia="Times New Roman" w:hAnsi="Times New Roman"/>
                <w:sz w:val="19"/>
                <w:szCs w:val="19"/>
              </w:rPr>
              <w:t xml:space="preserve">&gt; 70%</w:t>
            </w:r>
          </w:p>
        </w:tc>
        <w:tc>
          <w:tcPr>
            <w:tcW w:type="dxa" w:w="5150"/>
            <w:tcMar>
              <w:top w:type="dxa" w:w="60"/>
              <w:left w:type="dxa" w:w="100"/>
              <w:bottom w:type="dxa" w:w="60"/>
              <w:right w:type="dxa" w:w="100"/>
            </w:tcMar>
          </w:tcPr>
          <w:p>
            <w:r>
              <w:rPr>
                <w:rFonts w:ascii="Times New Roman" w:cs="Times New Roman" w:eastAsia="Times New Roman" w:hAnsi="Times New Roman"/>
                <w:sz w:val="19"/>
                <w:szCs w:val="19"/>
              </w:rPr>
              <w:t xml:space="preserve">Minimize false accusations against innocent accounts</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F1-Score (mule class)</w:t>
            </w:r>
          </w:p>
        </w:tc>
        <w:tc>
          <w:tcPr>
            <w:tcW w:type="dxa" w:w="1600"/>
            <w:tcMar>
              <w:top w:type="dxa" w:w="60"/>
              <w:left w:type="dxa" w:w="100"/>
              <w:bottom w:type="dxa" w:w="60"/>
              <w:right w:type="dxa" w:w="100"/>
            </w:tcMar>
          </w:tcPr>
          <w:p>
            <w:r>
              <w:rPr>
                <w:rFonts w:ascii="Times New Roman" w:cs="Times New Roman" w:eastAsia="Times New Roman" w:hAnsi="Times New Roman"/>
                <w:sz w:val="19"/>
                <w:szCs w:val="19"/>
              </w:rPr>
              <w:t xml:space="preserve">&gt; 77%</w:t>
            </w:r>
          </w:p>
        </w:tc>
        <w:tc>
          <w:tcPr>
            <w:tcW w:type="dxa" w:w="5150"/>
            <w:tcMar>
              <w:top w:type="dxa" w:w="60"/>
              <w:left w:type="dxa" w:w="100"/>
              <w:bottom w:type="dxa" w:w="60"/>
              <w:right w:type="dxa" w:w="100"/>
            </w:tcMar>
          </w:tcPr>
          <w:p>
            <w:r>
              <w:rPr>
                <w:rFonts w:ascii="Times New Roman" w:cs="Times New Roman" w:eastAsia="Times New Roman" w:hAnsi="Times New Roman"/>
                <w:sz w:val="19"/>
                <w:szCs w:val="19"/>
              </w:rPr>
              <w:t xml:space="preserve">Harmonic balance of precision and recall</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AUC-ROC</w:t>
            </w:r>
          </w:p>
        </w:tc>
        <w:tc>
          <w:tcPr>
            <w:tcW w:type="dxa" w:w="1600"/>
            <w:tcMar>
              <w:top w:type="dxa" w:w="60"/>
              <w:left w:type="dxa" w:w="100"/>
              <w:bottom w:type="dxa" w:w="60"/>
              <w:right w:type="dxa" w:w="100"/>
            </w:tcMar>
          </w:tcPr>
          <w:p>
            <w:r>
              <w:rPr>
                <w:rFonts w:ascii="Times New Roman" w:cs="Times New Roman" w:eastAsia="Times New Roman" w:hAnsi="Times New Roman"/>
                <w:sz w:val="19"/>
                <w:szCs w:val="19"/>
              </w:rPr>
              <w:t xml:space="preserve">&gt; 0.92</w:t>
            </w:r>
          </w:p>
        </w:tc>
        <w:tc>
          <w:tcPr>
            <w:tcW w:type="dxa" w:w="5150"/>
            <w:tcMar>
              <w:top w:type="dxa" w:w="60"/>
              <w:left w:type="dxa" w:w="100"/>
              <w:bottom w:type="dxa" w:w="60"/>
              <w:right w:type="dxa" w:w="100"/>
            </w:tcMar>
          </w:tcPr>
          <w:p>
            <w:r>
              <w:rPr>
                <w:rFonts w:ascii="Times New Roman" w:cs="Times New Roman" w:eastAsia="Times New Roman" w:hAnsi="Times New Roman"/>
                <w:sz w:val="19"/>
                <w:szCs w:val="19"/>
              </w:rPr>
              <w:t xml:space="preserve">Overall model discrimination ability</w:t>
            </w:r>
          </w:p>
        </w:tc>
      </w:tr>
      <w:tr>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False Positive Rate</w:t>
            </w:r>
          </w:p>
        </w:tc>
        <w:tc>
          <w:tcPr>
            <w:tcW w:type="dxa" w:w="1600"/>
            <w:tcMar>
              <w:top w:type="dxa" w:w="60"/>
              <w:left w:type="dxa" w:w="100"/>
              <w:bottom w:type="dxa" w:w="60"/>
              <w:right w:type="dxa" w:w="100"/>
            </w:tcMar>
          </w:tcPr>
          <w:p>
            <w:r>
              <w:rPr>
                <w:rFonts w:ascii="Times New Roman" w:cs="Times New Roman" w:eastAsia="Times New Roman" w:hAnsi="Times New Roman"/>
                <w:sz w:val="19"/>
                <w:szCs w:val="19"/>
              </w:rPr>
              <w:t xml:space="preserve">&lt; 5%</w:t>
            </w:r>
          </w:p>
        </w:tc>
        <w:tc>
          <w:tcPr>
            <w:tcW w:type="dxa" w:w="5150"/>
            <w:tcMar>
              <w:top w:type="dxa" w:w="60"/>
              <w:left w:type="dxa" w:w="100"/>
              <w:bottom w:type="dxa" w:w="60"/>
              <w:right w:type="dxa" w:w="100"/>
            </w:tcMar>
          </w:tcPr>
          <w:p>
            <w:r>
              <w:rPr>
                <w:rFonts w:ascii="Times New Roman" w:cs="Times New Roman" w:eastAsia="Times New Roman" w:hAnsi="Times New Roman"/>
                <w:sz w:val="19"/>
                <w:szCs w:val="19"/>
              </w:rPr>
              <w:t xml:space="preserve">Protect innocent account holders from wrongful freezing</w:t>
            </w:r>
          </w:p>
        </w:tc>
      </w:tr>
    </w:tbl>
    <w:p>
      <w:pPr>
        <w:spacing w:after="200" w:before="80"/>
        <w:jc w:val="center"/>
      </w:pPr>
      <w:r>
        <w:rPr>
          <w:rFonts w:ascii="Times New Roman" w:cs="Times New Roman" w:eastAsia="Times New Roman" w:hAnsi="Times New Roman"/>
          <w:i/>
          <w:iCs/>
          <w:sz w:val="19"/>
          <w:szCs w:val="19"/>
        </w:rPr>
        <w:t xml:space="preserve">TABLE II. Layer 1 evaluation targets</w:t>
      </w:r>
    </w:p>
    <w:p>
      <w:pPr>
        <w:spacing w:after="80" w:before="160"/>
      </w:pPr>
      <w:r>
        <w:rPr>
          <w:rFonts w:ascii="Times New Roman" w:cs="Times New Roman" w:eastAsia="Times New Roman" w:hAnsi="Times New Roman"/>
          <w:b/>
          <w:bCs/>
          <w:i/>
          <w:iCs/>
          <w:sz w:val="21"/>
          <w:szCs w:val="21"/>
        </w:rPr>
        <w:t xml:space="preserve">B. Layer 2 — Investigate (Graph Intelligence Engine)</w:t>
      </w:r>
    </w:p>
    <w:p>
      <w:pPr>
        <w:spacing w:after="140"/>
        <w:jc w:val="both"/>
      </w:pPr>
      <w:r>
        <w:rPr>
          <w:rFonts w:ascii="Times New Roman" w:cs="Times New Roman" w:eastAsia="Times New Roman" w:hAnsi="Times New Roman"/>
          <w:sz w:val="21"/>
          <w:szCs w:val="21"/>
        </w:rPr>
        <w:t xml:space="preserve">Once Layer 1 flags a suspicious account, the graph intelligence layer activates — the capability that most distinguishes TraceNetX v2.0 from a standard classification submission. Accounts are modelled as nodes in Neo4j, carrying ML risk score, behavioural features, and account metadata; transactions are modelled as directed edges carrying amount, timestamp, channel, and frequency; and identity-fusion edges link accounts that share an IP address, phone number, device fingerprint, or KYC location.</w:t>
      </w:r>
    </w:p>
    <w:p>
      <w:pPr>
        <w:spacing w:after="140"/>
        <w:jc w:val="both"/>
      </w:pPr>
      <w:r>
        <w:rPr>
          <w:rFonts w:ascii="Times New Roman" w:cs="Times New Roman" w:eastAsia="Times New Roman" w:hAnsi="Times New Roman"/>
          <w:sz w:val="21"/>
          <w:szCs w:val="21"/>
        </w:rPr>
        <w:t xml:space="preserve">Forward traversal maps all accounts connected to a flagged mule across unlimited hops, rendered as an interactive Spider Map in which node colour indicates risk level, edge thickness indicates transaction volume, and edge direction indicates money flow. The system's most powerful capability, however, is reverse chain analysis: rather than following money forward from source to destination, TraceNetX starts at the final collection point and traces all inbound transactions backward through every hop. The graph narrows at each step, and by three to four hops backward the coordinator typically emerges, with a complete chain of custody generated from every mule back to the collection point.</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3100"/>
        <w:gridCol w:w="6250"/>
      </w:tblGrid>
      <w:tr>
        <w:trPr>
          <w:tblHeader/>
        </w:trPr>
        <w:tc>
          <w:tcPr>
            <w:tcW w:type="dxa" w:w="31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Algorithm</w:t>
            </w:r>
          </w:p>
        </w:tc>
        <w:tc>
          <w:tcPr>
            <w:tcW w:type="dxa" w:w="62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What It Detects</w:t>
            </w:r>
          </w:p>
        </w:tc>
      </w:tr>
      <w:tr>
        <w:tc>
          <w:tcPr>
            <w:tcW w:type="dxa" w:w="3100"/>
            <w:tcMar>
              <w:top w:type="dxa" w:w="60"/>
              <w:left w:type="dxa" w:w="100"/>
              <w:bottom w:type="dxa" w:w="60"/>
              <w:right w:type="dxa" w:w="100"/>
            </w:tcMar>
          </w:tcPr>
          <w:p>
            <w:r>
              <w:rPr>
                <w:rFonts w:ascii="Times New Roman" w:cs="Times New Roman" w:eastAsia="Times New Roman" w:hAnsi="Times New Roman"/>
                <w:sz w:val="19"/>
                <w:szCs w:val="19"/>
              </w:rPr>
              <w:t xml:space="preserve">Community Detection</w:t>
            </w:r>
          </w:p>
        </w:tc>
        <w:tc>
          <w:tcPr>
            <w:tcW w:type="dxa" w:w="6250"/>
            <w:tcMar>
              <w:top w:type="dxa" w:w="60"/>
              <w:left w:type="dxa" w:w="100"/>
              <w:bottom w:type="dxa" w:w="60"/>
              <w:right w:type="dxa" w:w="100"/>
            </w:tcMar>
          </w:tcPr>
          <w:p>
            <w:r>
              <w:rPr>
                <w:rFonts w:ascii="Times New Roman" w:cs="Times New Roman" w:eastAsia="Times New Roman" w:hAnsi="Times New Roman"/>
                <w:sz w:val="19"/>
                <w:szCs w:val="19"/>
              </w:rPr>
              <w:t xml:space="preserve">Independent mule clusters converging to the same destination — identifies the coordinator node</w:t>
            </w:r>
          </w:p>
        </w:tc>
      </w:tr>
      <w:tr>
        <w:tc>
          <w:tcPr>
            <w:tcW w:type="dxa" w:w="3100"/>
            <w:tcMar>
              <w:top w:type="dxa" w:w="60"/>
              <w:left w:type="dxa" w:w="100"/>
              <w:bottom w:type="dxa" w:w="60"/>
              <w:right w:type="dxa" w:w="100"/>
            </w:tcMar>
          </w:tcPr>
          <w:p>
            <w:r>
              <w:rPr>
                <w:rFonts w:ascii="Times New Roman" w:cs="Times New Roman" w:eastAsia="Times New Roman" w:hAnsi="Times New Roman"/>
                <w:sz w:val="19"/>
                <w:szCs w:val="19"/>
              </w:rPr>
              <w:t xml:space="preserve">Batch Recruitment Detection</w:t>
            </w:r>
          </w:p>
        </w:tc>
        <w:tc>
          <w:tcPr>
            <w:tcW w:type="dxa" w:w="6250"/>
            <w:tcMar>
              <w:top w:type="dxa" w:w="60"/>
              <w:left w:type="dxa" w:w="100"/>
              <w:bottom w:type="dxa" w:w="60"/>
              <w:right w:type="dxa" w:w="100"/>
            </w:tcMar>
          </w:tcPr>
          <w:p>
            <w:r>
              <w:rPr>
                <w:rFonts w:ascii="Times New Roman" w:cs="Times New Roman" w:eastAsia="Times New Roman" w:hAnsi="Times New Roman"/>
                <w:sz w:val="19"/>
                <w:szCs w:val="19"/>
              </w:rPr>
              <w:t xml:space="preserve">Accounts opened in the same week, same KYC location, same referral — identifies a mule recruitment batch</w:t>
            </w:r>
          </w:p>
        </w:tc>
      </w:tr>
      <w:tr>
        <w:tc>
          <w:tcPr>
            <w:tcW w:type="dxa" w:w="3100"/>
            <w:tcMar>
              <w:top w:type="dxa" w:w="60"/>
              <w:left w:type="dxa" w:w="100"/>
              <w:bottom w:type="dxa" w:w="60"/>
              <w:right w:type="dxa" w:w="100"/>
            </w:tcMar>
          </w:tcPr>
          <w:p>
            <w:r>
              <w:rPr>
                <w:rFonts w:ascii="Times New Roman" w:cs="Times New Roman" w:eastAsia="Times New Roman" w:hAnsi="Times New Roman"/>
                <w:sz w:val="19"/>
                <w:szCs w:val="19"/>
              </w:rPr>
              <w:t xml:space="preserve">Coordination Detection</w:t>
            </w:r>
          </w:p>
        </w:tc>
        <w:tc>
          <w:tcPr>
            <w:tcW w:type="dxa" w:w="6250"/>
            <w:tcMar>
              <w:top w:type="dxa" w:w="60"/>
              <w:left w:type="dxa" w:w="100"/>
              <w:bottom w:type="dxa" w:w="60"/>
              <w:right w:type="dxa" w:w="100"/>
            </w:tcMar>
          </w:tcPr>
          <w:p>
            <w:r>
              <w:rPr>
                <w:rFonts w:ascii="Times New Roman" w:cs="Times New Roman" w:eastAsia="Times New Roman" w:hAnsi="Times New Roman"/>
                <w:sz w:val="19"/>
                <w:szCs w:val="19"/>
              </w:rPr>
              <w:t xml:space="preserve">100+ accounts forwarding within the same 2-hour window — indicates a coordination signal</w:t>
            </w:r>
          </w:p>
        </w:tc>
      </w:tr>
      <w:tr>
        <w:tc>
          <w:tcPr>
            <w:tcW w:type="dxa" w:w="3100"/>
            <w:tcMar>
              <w:top w:type="dxa" w:w="60"/>
              <w:left w:type="dxa" w:w="100"/>
              <w:bottom w:type="dxa" w:w="60"/>
              <w:right w:type="dxa" w:w="100"/>
            </w:tcMar>
          </w:tcPr>
          <w:p>
            <w:r>
              <w:rPr>
                <w:rFonts w:ascii="Times New Roman" w:cs="Times New Roman" w:eastAsia="Times New Roman" w:hAnsi="Times New Roman"/>
                <w:sz w:val="19"/>
                <w:szCs w:val="19"/>
              </w:rPr>
              <w:t xml:space="preserve">Convergence Analysis</w:t>
            </w:r>
          </w:p>
        </w:tc>
        <w:tc>
          <w:tcPr>
            <w:tcW w:type="dxa" w:w="6250"/>
            <w:tcMar>
              <w:top w:type="dxa" w:w="60"/>
              <w:left w:type="dxa" w:w="100"/>
              <w:bottom w:type="dxa" w:w="60"/>
              <w:right w:type="dxa" w:w="100"/>
            </w:tcMar>
          </w:tcPr>
          <w:p>
            <w:r>
              <w:rPr>
                <w:rFonts w:ascii="Times New Roman" w:cs="Times New Roman" w:eastAsia="Times New Roman" w:hAnsi="Times New Roman"/>
                <w:sz w:val="19"/>
                <w:szCs w:val="19"/>
              </w:rPr>
              <w:t xml:space="preserve">Multiple independent city-level clusters all pointing to one final account — identifies the lieutenant</w:t>
            </w:r>
          </w:p>
        </w:tc>
      </w:tr>
      <w:tr>
        <w:tc>
          <w:tcPr>
            <w:tcW w:type="dxa" w:w="3100"/>
            <w:tcMar>
              <w:top w:type="dxa" w:w="60"/>
              <w:left w:type="dxa" w:w="100"/>
              <w:bottom w:type="dxa" w:w="60"/>
              <w:right w:type="dxa" w:w="100"/>
            </w:tcMar>
          </w:tcPr>
          <w:p>
            <w:r>
              <w:rPr>
                <w:rFonts w:ascii="Times New Roman" w:cs="Times New Roman" w:eastAsia="Times New Roman" w:hAnsi="Times New Roman"/>
                <w:sz w:val="19"/>
                <w:szCs w:val="19"/>
              </w:rPr>
              <w:t xml:space="preserve">Shell Company Validation</w:t>
            </w:r>
          </w:p>
        </w:tc>
        <w:tc>
          <w:tcPr>
            <w:tcW w:type="dxa" w:w="6250"/>
            <w:tcMar>
              <w:top w:type="dxa" w:w="60"/>
              <w:left w:type="dxa" w:w="100"/>
              <w:bottom w:type="dxa" w:w="60"/>
              <w:right w:type="dxa" w:w="100"/>
            </w:tcMar>
          </w:tcPr>
          <w:p>
            <w:r>
              <w:rPr>
                <w:rFonts w:ascii="Times New Roman" w:cs="Times New Roman" w:eastAsia="Times New Roman" w:hAnsi="Times New Roman"/>
                <w:sz w:val="19"/>
                <w:szCs w:val="19"/>
              </w:rPr>
              <w:t xml:space="preserve">A registered business account whose transaction pattern does not match real business behaviour</w:t>
            </w:r>
          </w:p>
        </w:tc>
      </w:tr>
    </w:tbl>
    <w:p>
      <w:pPr>
        <w:spacing w:after="200" w:before="80"/>
        <w:jc w:val="center"/>
      </w:pPr>
      <w:r>
        <w:rPr>
          <w:rFonts w:ascii="Times New Roman" w:cs="Times New Roman" w:eastAsia="Times New Roman" w:hAnsi="Times New Roman"/>
          <w:i/>
          <w:iCs/>
          <w:sz w:val="19"/>
          <w:szCs w:val="19"/>
        </w:rPr>
        <w:t xml:space="preserve">TABLE III. Criminal network detection algorithms</w:t>
      </w:r>
    </w:p>
    <w:p>
      <w:pPr>
        <w:spacing w:after="140"/>
        <w:jc w:val="both"/>
      </w:pPr>
      <w:r>
        <w:rPr>
          <w:rFonts w:ascii="Times New Roman" w:cs="Times New Roman" w:eastAsia="Times New Roman" w:hAnsi="Times New Roman"/>
          <w:sz w:val="21"/>
          <w:szCs w:val="21"/>
        </w:rPr>
        <w:t xml:space="preserve">The system also targets specialised fraud patterns: hawala broker signatures (an account receiving funds from many sources, showing large cash withdrawals with no corresponding outward bank transfers, repeating the cycle every two to three weeks); shell-company detection (round-amount payments in irregular bursts with no supplier payments outward and no weekday/weekend variation consistent with genuine commercial activity); crypto-gateway monitoring (any transaction destined for a known cryptocurrency-exchange deposit address triggers immediate alert before funds leave the banking system); and cross-border layering (funds arriving from geographically distant cities within a two-hour window, indicating coordinated criminal activity).</w:t>
      </w:r>
    </w:p>
    <w:p>
      <w:pPr>
        <w:spacing w:after="80" w:before="160"/>
      </w:pPr>
      <w:r>
        <w:rPr>
          <w:rFonts w:ascii="Times New Roman" w:cs="Times New Roman" w:eastAsia="Times New Roman" w:hAnsi="Times New Roman"/>
          <w:b/>
          <w:bCs/>
          <w:i/>
          <w:iCs/>
          <w:sz w:val="21"/>
          <w:szCs w:val="21"/>
        </w:rPr>
        <w:t xml:space="preserve">C. Layer 3 — Act (Intelligent Response and Evidence Generation)</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1400"/>
        <w:gridCol w:w="1050"/>
        <w:gridCol w:w="3450"/>
        <w:gridCol w:w="3450"/>
      </w:tblGrid>
      <w:tr>
        <w:trPr>
          <w:tblHeader/>
        </w:trPr>
        <w:tc>
          <w:tcPr>
            <w:tcW w:type="dxa" w:w="14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Risk Level</w:t>
            </w:r>
          </w:p>
        </w:tc>
        <w:tc>
          <w:tcPr>
            <w:tcW w:type="dxa" w:w="10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Score</w:t>
            </w:r>
          </w:p>
        </w:tc>
        <w:tc>
          <w:tcPr>
            <w:tcW w:type="dxa" w:w="34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Account Profile</w:t>
            </w:r>
          </w:p>
        </w:tc>
        <w:tc>
          <w:tcPr>
            <w:tcW w:type="dxa" w:w="34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Recommended Action</w:t>
            </w:r>
          </w:p>
        </w:tc>
      </w:tr>
      <w:t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CRITICAL</w:t>
            </w:r>
          </w:p>
        </w:tc>
        <w:tc>
          <w:tcPr>
            <w:tcW w:type="dxa" w:w="1050"/>
            <w:tcMar>
              <w:top w:type="dxa" w:w="60"/>
              <w:left w:type="dxa" w:w="100"/>
              <w:bottom w:type="dxa" w:w="60"/>
              <w:right w:type="dxa" w:w="100"/>
            </w:tcMar>
          </w:tcPr>
          <w:p>
            <w:r>
              <w:rPr>
                <w:rFonts w:ascii="Times New Roman" w:cs="Times New Roman" w:eastAsia="Times New Roman" w:hAnsi="Times New Roman"/>
                <w:sz w:val="19"/>
                <w:szCs w:val="19"/>
              </w:rPr>
              <w:t xml:space="preserve">85–100</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Confirmed mule pattern, repeat behaviour, coordinated with known mule network</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Immediate freeze + STR filing + ED/CBI referral</w:t>
            </w:r>
          </w:p>
        </w:tc>
      </w:tr>
      <w:t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HIGH</w:t>
            </w:r>
          </w:p>
        </w:tc>
        <w:tc>
          <w:tcPr>
            <w:tcW w:type="dxa" w:w="1050"/>
            <w:tcMar>
              <w:top w:type="dxa" w:w="60"/>
              <w:left w:type="dxa" w:w="100"/>
              <w:bottom w:type="dxa" w:w="60"/>
              <w:right w:type="dxa" w:w="100"/>
            </w:tcMar>
          </w:tcPr>
          <w:p>
            <w:r>
              <w:rPr>
                <w:rFonts w:ascii="Times New Roman" w:cs="Times New Roman" w:eastAsia="Times New Roman" w:hAnsi="Times New Roman"/>
                <w:sz w:val="19"/>
                <w:szCs w:val="19"/>
              </w:rPr>
              <w:t xml:space="preserve">70–84</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Strong mule indicators, willing-participant profile</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Account freeze + investigation + police referral</w:t>
            </w:r>
          </w:p>
        </w:tc>
      </w:tr>
      <w:t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MEDIUM</w:t>
            </w:r>
          </w:p>
        </w:tc>
        <w:tc>
          <w:tcPr>
            <w:tcW w:type="dxa" w:w="1050"/>
            <w:tcMar>
              <w:top w:type="dxa" w:w="60"/>
              <w:left w:type="dxa" w:w="100"/>
              <w:bottom w:type="dxa" w:w="60"/>
              <w:right w:type="dxa" w:w="100"/>
            </w:tcMar>
          </w:tcPr>
          <w:p>
            <w:r>
              <w:rPr>
                <w:rFonts w:ascii="Times New Roman" w:cs="Times New Roman" w:eastAsia="Times New Roman" w:hAnsi="Times New Roman"/>
                <w:sz w:val="19"/>
                <w:szCs w:val="19"/>
              </w:rPr>
              <w:t xml:space="preserve">50–69</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Suspicious pattern, possibly unwitting mule</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Enhanced monitoring + bank outreach + customer interview</w:t>
            </w:r>
          </w:p>
        </w:tc>
      </w:tr>
      <w:t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LOW</w:t>
            </w:r>
          </w:p>
        </w:tc>
        <w:tc>
          <w:tcPr>
            <w:tcW w:type="dxa" w:w="1050"/>
            <w:tcMar>
              <w:top w:type="dxa" w:w="60"/>
              <w:left w:type="dxa" w:w="100"/>
              <w:bottom w:type="dxa" w:w="60"/>
              <w:right w:type="dxa" w:w="100"/>
            </w:tcMar>
          </w:tcPr>
          <w:p>
            <w:r>
              <w:rPr>
                <w:rFonts w:ascii="Times New Roman" w:cs="Times New Roman" w:eastAsia="Times New Roman" w:hAnsi="Times New Roman"/>
                <w:sz w:val="19"/>
                <w:szCs w:val="19"/>
              </w:rPr>
              <w:t xml:space="preserve">30–49</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Anomalous but potentially legitimate</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Watch list + periodic review</w:t>
            </w:r>
          </w:p>
        </w:tc>
      </w:tr>
      <w:tr>
        <w:tc>
          <w:tcPr>
            <w:tcW w:type="dxa" w:w="1400"/>
            <w:tcMar>
              <w:top w:type="dxa" w:w="60"/>
              <w:left w:type="dxa" w:w="100"/>
              <w:bottom w:type="dxa" w:w="60"/>
              <w:right w:type="dxa" w:w="100"/>
            </w:tcMar>
          </w:tcPr>
          <w:p>
            <w:r>
              <w:rPr>
                <w:rFonts w:ascii="Times New Roman" w:cs="Times New Roman" w:eastAsia="Times New Roman" w:hAnsi="Times New Roman"/>
                <w:sz w:val="19"/>
                <w:szCs w:val="19"/>
              </w:rPr>
              <w:t xml:space="preserve">CLEAR</w:t>
            </w:r>
          </w:p>
        </w:tc>
        <w:tc>
          <w:tcPr>
            <w:tcW w:type="dxa" w:w="1050"/>
            <w:tcMar>
              <w:top w:type="dxa" w:w="60"/>
              <w:left w:type="dxa" w:w="100"/>
              <w:bottom w:type="dxa" w:w="60"/>
              <w:right w:type="dxa" w:w="100"/>
            </w:tcMar>
          </w:tcPr>
          <w:p>
            <w:r>
              <w:rPr>
                <w:rFonts w:ascii="Times New Roman" w:cs="Times New Roman" w:eastAsia="Times New Roman" w:hAnsi="Times New Roman"/>
                <w:sz w:val="19"/>
                <w:szCs w:val="19"/>
              </w:rPr>
              <w:t xml:space="preserve">0–29</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Normal behaviour within statistical bounds</w:t>
            </w:r>
          </w:p>
        </w:tc>
        <w:tc>
          <w:tcPr>
            <w:tcW w:type="dxa" w:w="3450"/>
            <w:tcMar>
              <w:top w:type="dxa" w:w="60"/>
              <w:left w:type="dxa" w:w="100"/>
              <w:bottom w:type="dxa" w:w="60"/>
              <w:right w:type="dxa" w:w="100"/>
            </w:tcMar>
          </w:tcPr>
          <w:p>
            <w:r>
              <w:rPr>
                <w:rFonts w:ascii="Times New Roman" w:cs="Times New Roman" w:eastAsia="Times New Roman" w:hAnsi="Times New Roman"/>
                <w:sz w:val="19"/>
                <w:szCs w:val="19"/>
              </w:rPr>
              <w:t xml:space="preserve">No action — continue standard monitoring</w:t>
            </w:r>
          </w:p>
        </w:tc>
      </w:tr>
    </w:tbl>
    <w:p>
      <w:pPr>
        <w:spacing w:after="200" w:before="80"/>
        <w:jc w:val="center"/>
      </w:pPr>
      <w:r>
        <w:rPr>
          <w:rFonts w:ascii="Times New Roman" w:cs="Times New Roman" w:eastAsia="Times New Roman" w:hAnsi="Times New Roman"/>
          <w:i/>
          <w:iCs/>
          <w:sz w:val="19"/>
          <w:szCs w:val="19"/>
        </w:rPr>
        <w:t xml:space="preserve">TABLE IV. Graduated risk-response system</w:t>
      </w:r>
    </w:p>
    <w:p>
      <w:pPr>
        <w:spacing w:after="140"/>
        <w:jc w:val="both"/>
      </w:pPr>
      <w:r>
        <w:rPr>
          <w:rFonts w:ascii="Times New Roman" w:cs="Times New Roman" w:eastAsia="Times New Roman" w:hAnsi="Times New Roman"/>
          <w:sz w:val="21"/>
          <w:szCs w:val="21"/>
        </w:rPr>
        <w:t xml:space="preserve">Every flagged account receives a human-readable SHAP explanation rather than a black-box verdict — for example: "Account flagged because transaction velocity is 4.2x above peer average, outflow-to-inflow ratio indicates full forwarding behaviour, and account activity shows 94% correlation with confirmed mule temporal pattern." For every high-risk account, the system auto-generates a structured investigation report containing the risk score and confidence level, the top ten SHAP features with plain-language interpretation, the full transaction network map, the reverse-chain-analysis result, a suspicious-pattern summary, recommended regulatory action, and an evidence package formatted for FIR filing and court submission. Regulatory feed integration cross-references flagged accounts against I4C alerts and NCRP tickets, monitors the RBI registered crypto-exchange watchlist, and generates automated FIU-IND Suspicious Transaction Reports.</w:t>
      </w:r>
    </w:p>
    <w:p>
      <w:pPr>
        <w:pStyle w:val="Heading1"/>
        <w:spacing w:after="120" w:before="240"/>
      </w:pPr>
      <w:r>
        <w:rPr>
          <w:rFonts w:ascii="Times New Roman" w:cs="Times New Roman" w:eastAsia="Times New Roman" w:hAnsi="Times New Roman"/>
          <w:b/>
          <w:bCs/>
          <w:sz w:val="22"/>
          <w:szCs w:val="22"/>
        </w:rPr>
        <w:t xml:space="preserve">III. END-TO-END SYSTEM PIPELINE</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2200"/>
        <w:gridCol w:w="4550"/>
        <w:gridCol w:w="2600"/>
      </w:tblGrid>
      <w:tr>
        <w:trPr>
          <w:tblHeader/>
        </w:trPr>
        <w:tc>
          <w:tcPr>
            <w:tcW w:type="dxa" w:w="22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Stage</w:t>
            </w:r>
          </w:p>
        </w:tc>
        <w:tc>
          <w:tcPr>
            <w:tcW w:type="dxa" w:w="45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Process</w:t>
            </w:r>
          </w:p>
        </w:tc>
        <w:tc>
          <w:tcPr>
            <w:tcW w:type="dxa" w:w="2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Technology</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1. Data Ingestion</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CSV upload / real-time API feed from core banking system</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FastAPI, Apache Kafka</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2. Preprocessing</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Missing-value imputation, normalization, feature engineering</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Python, Pandas, Scikit-learn</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3. Class Balancing</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SMOTE oversampling on the minority (mule) class</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imbalanced-learn</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4. ML Classification</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XGBoost + Random Forest + LightGBM ensemble scoring</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XGBoost, LightGBM, Scikit-learn</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5. Anomaly Detection</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Isolation Forest for unlabeled anomaly identification</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Scikit-learn</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6. Temporal Analysis</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LSTM sequence modelling on account behaviour timelines</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TensorFlow / Keras</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7. Risk Scoring</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Ensemble probability converted to a 0–100 risk score</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Custom scoring module</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8. SHAP Explainability</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Per-account feature attribution for every flagged account</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SHAP library</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9. Graph Construction</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Build the account-transaction network</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Neo4j, NetworkX</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10. Network Analysis</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Forward traversal, reverse chain, community detection</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Neo4j Graph Data Science</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11. Pattern Detection</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Hawala, shell company, crypto gateway, coordination signals</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Custom Neo4j Cypher queries</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12. Response Engine</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Graduated risk classification with recommended action</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Custom rule engine</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13. Evidence Package</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Auto-generated investigation report and court-ready summary</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Python, LLM integration</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14. Dashboard</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Investigator UI with Spider Map, alerts, filters</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React.js, Cytoscape.js</w:t>
            </w:r>
          </w:p>
        </w:tc>
      </w:tr>
      <w:tr>
        <w:tc>
          <w:tcPr>
            <w:tcW w:type="dxa" w:w="2200"/>
            <w:tcMar>
              <w:top w:type="dxa" w:w="60"/>
              <w:left w:type="dxa" w:w="100"/>
              <w:bottom w:type="dxa" w:w="60"/>
              <w:right w:type="dxa" w:w="100"/>
            </w:tcMar>
          </w:tcPr>
          <w:p>
            <w:r>
              <w:rPr>
                <w:rFonts w:ascii="Times New Roman" w:cs="Times New Roman" w:eastAsia="Times New Roman" w:hAnsi="Times New Roman"/>
                <w:sz w:val="19"/>
                <w:szCs w:val="19"/>
              </w:rPr>
              <w:t xml:space="preserve">15. Regulatory Output</w:t>
            </w:r>
          </w:p>
        </w:tc>
        <w:tc>
          <w:tcPr>
            <w:tcW w:type="dxa" w:w="4550"/>
            <w:tcMar>
              <w:top w:type="dxa" w:w="60"/>
              <w:left w:type="dxa" w:w="100"/>
              <w:bottom w:type="dxa" w:w="60"/>
              <w:right w:type="dxa" w:w="100"/>
            </w:tcMar>
          </w:tcPr>
          <w:p>
            <w:r>
              <w:rPr>
                <w:rFonts w:ascii="Times New Roman" w:cs="Times New Roman" w:eastAsia="Times New Roman" w:hAnsi="Times New Roman"/>
                <w:sz w:val="19"/>
                <w:szCs w:val="19"/>
              </w:rPr>
              <w:t xml:space="preserve">STR filing, I4C/NCRP cross-reference, ED/CBI handoff</w:t>
            </w:r>
          </w:p>
        </w:tc>
        <w:tc>
          <w:tcPr>
            <w:tcW w:type="dxa" w:w="2600"/>
            <w:tcMar>
              <w:top w:type="dxa" w:w="60"/>
              <w:left w:type="dxa" w:w="100"/>
              <w:bottom w:type="dxa" w:w="60"/>
              <w:right w:type="dxa" w:w="100"/>
            </w:tcMar>
          </w:tcPr>
          <w:p>
            <w:r>
              <w:rPr>
                <w:rFonts w:ascii="Times New Roman" w:cs="Times New Roman" w:eastAsia="Times New Roman" w:hAnsi="Times New Roman"/>
                <w:sz w:val="19"/>
                <w:szCs w:val="19"/>
              </w:rPr>
              <w:t xml:space="preserve">FastAPI, secure export</w:t>
            </w:r>
          </w:p>
        </w:tc>
      </w:tr>
    </w:tbl>
    <w:p>
      <w:pPr>
        <w:spacing w:after="200" w:before="80"/>
        <w:jc w:val="center"/>
      </w:pPr>
      <w:r>
        <w:rPr>
          <w:rFonts w:ascii="Times New Roman" w:cs="Times New Roman" w:eastAsia="Times New Roman" w:hAnsi="Times New Roman"/>
          <w:i/>
          <w:iCs/>
          <w:sz w:val="19"/>
          <w:szCs w:val="19"/>
        </w:rPr>
        <w:t xml:space="preserve">TABLE V. End-to-end system pipeline</w:t>
      </w:r>
    </w:p>
    <w:p>
      <w:pPr>
        <w:pStyle w:val="Heading1"/>
        <w:spacing w:after="120" w:before="240"/>
      </w:pPr>
      <w:r>
        <w:rPr>
          <w:rFonts w:ascii="Times New Roman" w:cs="Times New Roman" w:eastAsia="Times New Roman" w:hAnsi="Times New Roman"/>
          <w:b/>
          <w:bCs/>
          <w:sz w:val="22"/>
          <w:szCs w:val="22"/>
        </w:rPr>
        <w:t xml:space="preserve">IV. TECHNOLOGY STACK</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2400"/>
        <w:gridCol w:w="3550"/>
        <w:gridCol w:w="3400"/>
      </w:tblGrid>
      <w:tr>
        <w:trPr>
          <w:tblHeader/>
        </w:trPr>
        <w:tc>
          <w:tcPr>
            <w:tcW w:type="dxa" w:w="24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Layer</w:t>
            </w:r>
          </w:p>
        </w:tc>
        <w:tc>
          <w:tcPr>
            <w:tcW w:type="dxa" w:w="35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Technology</w:t>
            </w:r>
          </w:p>
        </w:tc>
        <w:tc>
          <w:tcPr>
            <w:tcW w:type="dxa" w:w="34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Purpose</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ML Engine</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Python, XGBoost, LightGBM, Scikit-learn, TensorFlow/Keras</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Core classification and temporal analysis</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Explainability</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SHAP</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Feature attribution and regulatory compliance</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Data Processing</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Pandas, NumPy, imbalanced-learn</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Feature engineering and class balancing</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Graph Database</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Neo4j</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Transaction network storage and traversal</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Graph Algorithms</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Neo4j Graph Data Science, NetworkX</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Community detection, path analysis</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Backend API</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FastAPI (Python)</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Data ingestion, model serving, alert generation</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Frontend</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React.js</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Investigator dashboard and alert management</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Visualization</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Cytoscape.js</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Interactive Spider Map network visualization</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Real-time Pipeline</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Apache Kafka</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Streaming transaction data ingestion</w:t>
            </w:r>
          </w:p>
        </w:tc>
      </w:tr>
      <w:tr>
        <w:tc>
          <w:tcPr>
            <w:tcW w:type="dxa" w:w="2400"/>
            <w:tcMar>
              <w:top w:type="dxa" w:w="60"/>
              <w:left w:type="dxa" w:w="100"/>
              <w:bottom w:type="dxa" w:w="60"/>
              <w:right w:type="dxa" w:w="100"/>
            </w:tcMar>
          </w:tcPr>
          <w:p>
            <w:r>
              <w:rPr>
                <w:rFonts w:ascii="Times New Roman" w:cs="Times New Roman" w:eastAsia="Times New Roman" w:hAnsi="Times New Roman"/>
                <w:sz w:val="19"/>
                <w:szCs w:val="19"/>
              </w:rPr>
              <w:t xml:space="preserve">Security</w:t>
            </w:r>
          </w:p>
        </w:tc>
        <w:tc>
          <w:tcPr>
            <w:tcW w:type="dxa" w:w="3550"/>
            <w:tcMar>
              <w:top w:type="dxa" w:w="60"/>
              <w:left w:type="dxa" w:w="100"/>
              <w:bottom w:type="dxa" w:w="60"/>
              <w:right w:type="dxa" w:w="100"/>
            </w:tcMar>
          </w:tcPr>
          <w:p>
            <w:r>
              <w:rPr>
                <w:rFonts w:ascii="Times New Roman" w:cs="Times New Roman" w:eastAsia="Times New Roman" w:hAnsi="Times New Roman"/>
                <w:sz w:val="19"/>
                <w:szCs w:val="19"/>
              </w:rPr>
              <w:t xml:space="preserve">AES-256 encryption, RBAC</w:t>
            </w:r>
          </w:p>
        </w:tc>
        <w:tc>
          <w:tcPr>
            <w:tcW w:type="dxa" w:w="3400"/>
            <w:tcMar>
              <w:top w:type="dxa" w:w="60"/>
              <w:left w:type="dxa" w:w="100"/>
              <w:bottom w:type="dxa" w:w="60"/>
              <w:right w:type="dxa" w:w="100"/>
            </w:tcMar>
          </w:tcPr>
          <w:p>
            <w:r>
              <w:rPr>
                <w:rFonts w:ascii="Times New Roman" w:cs="Times New Roman" w:eastAsia="Times New Roman" w:hAnsi="Times New Roman"/>
                <w:sz w:val="19"/>
                <w:szCs w:val="19"/>
              </w:rPr>
              <w:t xml:space="preserve">Data protection and access control</w:t>
            </w:r>
          </w:p>
        </w:tc>
      </w:tr>
    </w:tbl>
    <w:p>
      <w:pPr>
        <w:spacing w:after="200" w:before="80"/>
        <w:jc w:val="center"/>
      </w:pPr>
      <w:r>
        <w:rPr>
          <w:rFonts w:ascii="Times New Roman" w:cs="Times New Roman" w:eastAsia="Times New Roman" w:hAnsi="Times New Roman"/>
          <w:i/>
          <w:iCs/>
          <w:sz w:val="19"/>
          <w:szCs w:val="19"/>
        </w:rPr>
        <w:t xml:space="preserve">TABLE VI. TraceNetX v2.0 complete technology stack</w:t>
      </w:r>
    </w:p>
    <w:p>
      <w:pPr>
        <w:pStyle w:val="Heading1"/>
        <w:spacing w:after="120" w:before="240"/>
      </w:pPr>
      <w:r>
        <w:rPr>
          <w:rFonts w:ascii="Times New Roman" w:cs="Times New Roman" w:eastAsia="Times New Roman" w:hAnsi="Times New Roman"/>
          <w:b/>
          <w:bCs/>
          <w:sz w:val="22"/>
          <w:szCs w:val="22"/>
        </w:rPr>
        <w:t xml:space="preserve">V. IMPLEMENTATION SCOPE</w:t>
      </w:r>
    </w:p>
    <w:p>
      <w:pPr>
        <w:spacing w:after="80" w:before="160"/>
      </w:pPr>
      <w:r>
        <w:rPr>
          <w:rFonts w:ascii="Times New Roman" w:cs="Times New Roman" w:eastAsia="Times New Roman" w:hAnsi="Times New Roman"/>
          <w:b/>
          <w:bCs/>
          <w:i/>
          <w:iCs/>
          <w:sz w:val="21"/>
          <w:szCs w:val="21"/>
        </w:rPr>
        <w:t xml:space="preserve">A. Demonstrated on the BOI sample dataset</w:t>
      </w:r>
    </w:p>
    <w:p>
      <w:pPr>
        <w:pStyle w:val="ListParagraph"/>
        <w:numPr>
          <w:ilvl w:val="0"/>
          <w:numId w:val="2"/>
        </w:numPr>
        <w:spacing w:after="80"/>
      </w:pPr>
      <w:r>
        <w:rPr>
          <w:rFonts w:ascii="Times New Roman" w:cs="Times New Roman" w:eastAsia="Times New Roman" w:hAnsi="Times New Roman"/>
          <w:sz w:val="21"/>
          <w:szCs w:val="21"/>
        </w:rPr>
        <w:t xml:space="preserve">Complete ML pipeline: preprocessing, SMOTE, XGBoost + Random Forest ensemble</w:t>
      </w:r>
    </w:p>
    <w:p>
      <w:pPr>
        <w:pStyle w:val="ListParagraph"/>
        <w:numPr>
          <w:ilvl w:val="0"/>
          <w:numId w:val="2"/>
        </w:numPr>
        <w:spacing w:after="80"/>
      </w:pPr>
      <w:r>
        <w:rPr>
          <w:rFonts w:ascii="Times New Roman" w:cs="Times New Roman" w:eastAsia="Times New Roman" w:hAnsi="Times New Roman"/>
          <w:sz w:val="21"/>
          <w:szCs w:val="21"/>
        </w:rPr>
        <w:t xml:space="preserve">Feature engineering on all 18 BOI-hinted features</w:t>
      </w:r>
    </w:p>
    <w:p>
      <w:pPr>
        <w:pStyle w:val="ListParagraph"/>
        <w:numPr>
          <w:ilvl w:val="0"/>
          <w:numId w:val="2"/>
        </w:numPr>
        <w:spacing w:after="80"/>
      </w:pPr>
      <w:r>
        <w:rPr>
          <w:rFonts w:ascii="Times New Roman" w:cs="Times New Roman" w:eastAsia="Times New Roman" w:hAnsi="Times New Roman"/>
          <w:sz w:val="21"/>
          <w:szCs w:val="21"/>
        </w:rPr>
        <w:t xml:space="preserve">SHAP explainability per flagged account</w:t>
      </w:r>
    </w:p>
    <w:p>
      <w:pPr>
        <w:pStyle w:val="ListParagraph"/>
        <w:numPr>
          <w:ilvl w:val="0"/>
          <w:numId w:val="2"/>
        </w:numPr>
        <w:spacing w:after="80"/>
      </w:pPr>
      <w:r>
        <w:rPr>
          <w:rFonts w:ascii="Times New Roman" w:cs="Times New Roman" w:eastAsia="Times New Roman" w:hAnsi="Times New Roman"/>
          <w:sz w:val="21"/>
          <w:szCs w:val="21"/>
        </w:rPr>
        <w:t xml:space="preserve">Risk scoring engine (0–100)</w:t>
      </w:r>
    </w:p>
    <w:p>
      <w:pPr>
        <w:pStyle w:val="ListParagraph"/>
        <w:numPr>
          <w:ilvl w:val="0"/>
          <w:numId w:val="2"/>
        </w:numPr>
        <w:spacing w:after="80"/>
      </w:pPr>
      <w:r>
        <w:rPr>
          <w:rFonts w:ascii="Times New Roman" w:cs="Times New Roman" w:eastAsia="Times New Roman" w:hAnsi="Times New Roman"/>
          <w:sz w:val="21"/>
          <w:szCs w:val="21"/>
        </w:rPr>
        <w:t xml:space="preserve">Graduated response classification logic</w:t>
      </w:r>
    </w:p>
    <w:p>
      <w:pPr>
        <w:pStyle w:val="ListParagraph"/>
        <w:numPr>
          <w:ilvl w:val="0"/>
          <w:numId w:val="2"/>
        </w:numPr>
        <w:spacing w:after="80"/>
      </w:pPr>
      <w:r>
        <w:rPr>
          <w:rFonts w:ascii="Times New Roman" w:cs="Times New Roman" w:eastAsia="Times New Roman" w:hAnsi="Times New Roman"/>
          <w:sz w:val="21"/>
          <w:szCs w:val="21"/>
        </w:rPr>
        <w:t xml:space="preserve">Investigator dashboard with alert management</w:t>
      </w:r>
    </w:p>
    <w:p>
      <w:pPr>
        <w:pStyle w:val="ListParagraph"/>
        <w:numPr>
          <w:ilvl w:val="0"/>
          <w:numId w:val="2"/>
        </w:numPr>
        <w:spacing w:after="80"/>
      </w:pPr>
      <w:r>
        <w:rPr>
          <w:rFonts w:ascii="Times New Roman" w:cs="Times New Roman" w:eastAsia="Times New Roman" w:hAnsi="Times New Roman"/>
          <w:sz w:val="21"/>
          <w:szCs w:val="21"/>
        </w:rPr>
        <w:t xml:space="preserve">TraceNetX Spider Map visualization</w:t>
      </w:r>
    </w:p>
    <w:p>
      <w:pPr>
        <w:spacing w:after="140"/>
        <w:jc w:val="both"/>
      </w:pPr>
      <w:r>
        <w:rPr>
          <w:rFonts w:ascii="Times New Roman" w:cs="Times New Roman" w:eastAsia="Times New Roman" w:hAnsi="Times New Roman"/>
          <w:sz w:val="21"/>
          <w:szCs w:val="21"/>
        </w:rPr>
        <w:t xml:space="preserve">The sample dataset demonstrates proof of concept; deployment with full core-banking data activates the complete system, including every layer described in Section II.</w:t>
      </w:r>
    </w:p>
    <w:p>
      <w:pPr>
        <w:spacing w:after="80" w:before="160"/>
      </w:pPr>
      <w:r>
        <w:rPr>
          <w:rFonts w:ascii="Times New Roman" w:cs="Times New Roman" w:eastAsia="Times New Roman" w:hAnsi="Times New Roman"/>
          <w:b/>
          <w:bCs/>
          <w:i/>
          <w:iCs/>
          <w:sz w:val="21"/>
          <w:szCs w:val="21"/>
        </w:rPr>
        <w:t xml:space="preserve">B. Planned for full-scale deployment</w:t>
      </w:r>
    </w:p>
    <w:p>
      <w:pPr>
        <w:pStyle w:val="ListParagraph"/>
        <w:numPr>
          <w:ilvl w:val="0"/>
          <w:numId w:val="2"/>
        </w:numPr>
        <w:spacing w:after="80"/>
      </w:pPr>
      <w:r>
        <w:rPr>
          <w:rFonts w:ascii="Times New Roman" w:cs="Times New Roman" w:eastAsia="Times New Roman" w:hAnsi="Times New Roman"/>
          <w:sz w:val="21"/>
          <w:szCs w:val="21"/>
        </w:rPr>
        <w:t xml:space="preserve">LSTM temporal sequence analysis on full transaction history</w:t>
      </w:r>
    </w:p>
    <w:p>
      <w:pPr>
        <w:pStyle w:val="ListParagraph"/>
        <w:numPr>
          <w:ilvl w:val="0"/>
          <w:numId w:val="2"/>
        </w:numPr>
        <w:spacing w:after="80"/>
      </w:pPr>
      <w:r>
        <w:rPr>
          <w:rFonts w:ascii="Times New Roman" w:cs="Times New Roman" w:eastAsia="Times New Roman" w:hAnsi="Times New Roman"/>
          <w:sz w:val="21"/>
          <w:szCs w:val="21"/>
        </w:rPr>
        <w:t xml:space="preserve">Complete Neo4j graph network with full transaction connectivity</w:t>
      </w:r>
    </w:p>
    <w:p>
      <w:pPr>
        <w:pStyle w:val="ListParagraph"/>
        <w:numPr>
          <w:ilvl w:val="0"/>
          <w:numId w:val="2"/>
        </w:numPr>
        <w:spacing w:after="80"/>
      </w:pPr>
      <w:r>
        <w:rPr>
          <w:rFonts w:ascii="Times New Roman" w:cs="Times New Roman" w:eastAsia="Times New Roman" w:hAnsi="Times New Roman"/>
          <w:sz w:val="21"/>
          <w:szCs w:val="21"/>
        </w:rPr>
        <w:t xml:space="preserve">Reverse chain analysis to identify coordinators</w:t>
      </w:r>
    </w:p>
    <w:p>
      <w:pPr>
        <w:pStyle w:val="ListParagraph"/>
        <w:numPr>
          <w:ilvl w:val="0"/>
          <w:numId w:val="2"/>
        </w:numPr>
        <w:spacing w:after="80"/>
      </w:pPr>
      <w:r>
        <w:rPr>
          <w:rFonts w:ascii="Times New Roman" w:cs="Times New Roman" w:eastAsia="Times New Roman" w:hAnsi="Times New Roman"/>
          <w:sz w:val="21"/>
          <w:szCs w:val="21"/>
        </w:rPr>
        <w:t xml:space="preserve">Hawala broker detection and shell company validation</w:t>
      </w:r>
    </w:p>
    <w:p>
      <w:pPr>
        <w:pStyle w:val="ListParagraph"/>
        <w:numPr>
          <w:ilvl w:val="0"/>
          <w:numId w:val="2"/>
        </w:numPr>
        <w:spacing w:after="80"/>
      </w:pPr>
      <w:r>
        <w:rPr>
          <w:rFonts w:ascii="Times New Roman" w:cs="Times New Roman" w:eastAsia="Times New Roman" w:hAnsi="Times New Roman"/>
          <w:sz w:val="21"/>
          <w:szCs w:val="21"/>
        </w:rPr>
        <w:t xml:space="preserve">Crypto exchange gateway monitoring</w:t>
      </w:r>
    </w:p>
    <w:p>
      <w:pPr>
        <w:pStyle w:val="ListParagraph"/>
        <w:numPr>
          <w:ilvl w:val="0"/>
          <w:numId w:val="2"/>
        </w:numPr>
        <w:spacing w:after="80"/>
      </w:pPr>
      <w:r>
        <w:rPr>
          <w:rFonts w:ascii="Times New Roman" w:cs="Times New Roman" w:eastAsia="Times New Roman" w:hAnsi="Times New Roman"/>
          <w:sz w:val="21"/>
          <w:szCs w:val="21"/>
        </w:rPr>
        <w:t xml:space="preserve">I4C / NCRP regulatory feed integration</w:t>
      </w:r>
    </w:p>
    <w:p>
      <w:pPr>
        <w:pStyle w:val="ListParagraph"/>
        <w:numPr>
          <w:ilvl w:val="0"/>
          <w:numId w:val="2"/>
        </w:numPr>
        <w:spacing w:after="80"/>
      </w:pPr>
      <w:r>
        <w:rPr>
          <w:rFonts w:ascii="Times New Roman" w:cs="Times New Roman" w:eastAsia="Times New Roman" w:hAnsi="Times New Roman"/>
          <w:sz w:val="21"/>
          <w:szCs w:val="21"/>
        </w:rPr>
        <w:t xml:space="preserve">Cross-bank federated anomaly scoring (privacy-preserving)</w:t>
      </w:r>
    </w:p>
    <w:p>
      <w:pPr>
        <w:pStyle w:val="ListParagraph"/>
        <w:numPr>
          <w:ilvl w:val="0"/>
          <w:numId w:val="2"/>
        </w:numPr>
        <w:spacing w:after="80"/>
      </w:pPr>
      <w:r>
        <w:rPr>
          <w:rFonts w:ascii="Times New Roman" w:cs="Times New Roman" w:eastAsia="Times New Roman" w:hAnsi="Times New Roman"/>
          <w:sz w:val="21"/>
          <w:szCs w:val="21"/>
        </w:rPr>
        <w:t xml:space="preserve">Automated STR generation for FIU-IND submission</w:t>
      </w:r>
    </w:p>
    <w:p>
      <w:pPr>
        <w:pStyle w:val="Heading1"/>
        <w:spacing w:after="120" w:before="240"/>
      </w:pPr>
      <w:r>
        <w:rPr>
          <w:rFonts w:ascii="Times New Roman" w:cs="Times New Roman" w:eastAsia="Times New Roman" w:hAnsi="Times New Roman"/>
          <w:b/>
          <w:bCs/>
          <w:sz w:val="22"/>
          <w:szCs w:val="22"/>
        </w:rPr>
        <w:t xml:space="preserve">VI. EXPECTED IMPACT</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2700"/>
        <w:gridCol w:w="3300"/>
        <w:gridCol w:w="3350"/>
      </w:tblGrid>
      <w:tr>
        <w:trPr>
          <w:tblHeader/>
        </w:trPr>
        <w:tc>
          <w:tcPr>
            <w:tcW w:type="dxa" w:w="27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Metric</w:t>
            </w:r>
          </w:p>
        </w:tc>
        <w:tc>
          <w:tcPr>
            <w:tcW w:type="dxa" w:w="33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Current State</w:t>
            </w:r>
          </w:p>
        </w:tc>
        <w:tc>
          <w:tcPr>
            <w:tcW w:type="dxa" w:w="33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TraceNetX v2.0</w:t>
            </w:r>
          </w:p>
        </w:tc>
      </w:tr>
      <w:tr>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Investigation time per case</w:t>
            </w:r>
          </w:p>
        </w:tc>
        <w:tc>
          <w:tcPr>
            <w:tcW w:type="dxa" w:w="3300"/>
            <w:tcMar>
              <w:top w:type="dxa" w:w="60"/>
              <w:left w:type="dxa" w:w="100"/>
              <w:bottom w:type="dxa" w:w="60"/>
              <w:right w:type="dxa" w:w="100"/>
            </w:tcMar>
          </w:tcPr>
          <w:p>
            <w:r>
              <w:rPr>
                <w:rFonts w:ascii="Times New Roman" w:cs="Times New Roman" w:eastAsia="Times New Roman" w:hAnsi="Times New Roman"/>
                <w:sz w:val="19"/>
                <w:szCs w:val="19"/>
              </w:rPr>
              <w:t xml:space="preserve">3–5 days (manual)</w:t>
            </w:r>
          </w:p>
        </w:tc>
        <w:tc>
          <w:tcPr>
            <w:tcW w:type="dxa" w:w="3350"/>
            <w:tcMar>
              <w:top w:type="dxa" w:w="60"/>
              <w:left w:type="dxa" w:w="100"/>
              <w:bottom w:type="dxa" w:w="60"/>
              <w:right w:type="dxa" w:w="100"/>
            </w:tcMar>
          </w:tcPr>
          <w:p>
            <w:r>
              <w:rPr>
                <w:rFonts w:ascii="Times New Roman" w:cs="Times New Roman" w:eastAsia="Times New Roman" w:hAnsi="Times New Roman"/>
                <w:sz w:val="19"/>
                <w:szCs w:val="19"/>
              </w:rPr>
              <w:t xml:space="preserve">Under 10 minutes (automated)</w:t>
            </w:r>
          </w:p>
        </w:tc>
      </w:tr>
      <w:tr>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Network visibility</w:t>
            </w:r>
          </w:p>
        </w:tc>
        <w:tc>
          <w:tcPr>
            <w:tcW w:type="dxa" w:w="3300"/>
            <w:tcMar>
              <w:top w:type="dxa" w:w="60"/>
              <w:left w:type="dxa" w:w="100"/>
              <w:bottom w:type="dxa" w:w="60"/>
              <w:right w:type="dxa" w:w="100"/>
            </w:tcMar>
          </w:tcPr>
          <w:p>
            <w:r>
              <w:rPr>
                <w:rFonts w:ascii="Times New Roman" w:cs="Times New Roman" w:eastAsia="Times New Roman" w:hAnsi="Times New Roman"/>
                <w:sz w:val="19"/>
                <w:szCs w:val="19"/>
              </w:rPr>
              <w:t xml:space="preserve">Single account view</w:t>
            </w:r>
          </w:p>
        </w:tc>
        <w:tc>
          <w:tcPr>
            <w:tcW w:type="dxa" w:w="3350"/>
            <w:tcMar>
              <w:top w:type="dxa" w:w="60"/>
              <w:left w:type="dxa" w:w="100"/>
              <w:bottom w:type="dxa" w:w="60"/>
              <w:right w:type="dxa" w:w="100"/>
            </w:tcMar>
          </w:tcPr>
          <w:p>
            <w:r>
              <w:rPr>
                <w:rFonts w:ascii="Times New Roman" w:cs="Times New Roman" w:eastAsia="Times New Roman" w:hAnsi="Times New Roman"/>
                <w:sz w:val="19"/>
                <w:szCs w:val="19"/>
              </w:rPr>
              <w:t xml:space="preserve">Full multi-hop network map</w:t>
            </w:r>
          </w:p>
        </w:tc>
      </w:tr>
      <w:tr>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False positive handling</w:t>
            </w:r>
          </w:p>
        </w:tc>
        <w:tc>
          <w:tcPr>
            <w:tcW w:type="dxa" w:w="3300"/>
            <w:tcMar>
              <w:top w:type="dxa" w:w="60"/>
              <w:left w:type="dxa" w:w="100"/>
              <w:bottom w:type="dxa" w:w="60"/>
              <w:right w:type="dxa" w:w="100"/>
            </w:tcMar>
          </w:tcPr>
          <w:p>
            <w:r>
              <w:rPr>
                <w:rFonts w:ascii="Times New Roman" w:cs="Times New Roman" w:eastAsia="Times New Roman" w:hAnsi="Times New Roman"/>
                <w:sz w:val="19"/>
                <w:szCs w:val="19"/>
              </w:rPr>
              <w:t xml:space="preserve">Binary flag — all or nothing</w:t>
            </w:r>
          </w:p>
        </w:tc>
        <w:tc>
          <w:tcPr>
            <w:tcW w:type="dxa" w:w="3350"/>
            <w:tcMar>
              <w:top w:type="dxa" w:w="60"/>
              <w:left w:type="dxa" w:w="100"/>
              <w:bottom w:type="dxa" w:w="60"/>
              <w:right w:type="dxa" w:w="100"/>
            </w:tcMar>
          </w:tcPr>
          <w:p>
            <w:r>
              <w:rPr>
                <w:rFonts w:ascii="Times New Roman" w:cs="Times New Roman" w:eastAsia="Times New Roman" w:hAnsi="Times New Roman"/>
                <w:sz w:val="19"/>
                <w:szCs w:val="19"/>
              </w:rPr>
              <w:t xml:space="preserve">Graduated response — 5 risk levels</w:t>
            </w:r>
          </w:p>
        </w:tc>
      </w:tr>
      <w:tr>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Evidence quality</w:t>
            </w:r>
          </w:p>
        </w:tc>
        <w:tc>
          <w:tcPr>
            <w:tcW w:type="dxa" w:w="3300"/>
            <w:tcMar>
              <w:top w:type="dxa" w:w="60"/>
              <w:left w:type="dxa" w:w="100"/>
              <w:bottom w:type="dxa" w:w="60"/>
              <w:right w:type="dxa" w:w="100"/>
            </w:tcMar>
          </w:tcPr>
          <w:p>
            <w:r>
              <w:rPr>
                <w:rFonts w:ascii="Times New Roman" w:cs="Times New Roman" w:eastAsia="Times New Roman" w:hAnsi="Times New Roman"/>
                <w:sz w:val="19"/>
                <w:szCs w:val="19"/>
              </w:rPr>
              <w:t xml:space="preserve">Transaction records only</w:t>
            </w:r>
          </w:p>
        </w:tc>
        <w:tc>
          <w:tcPr>
            <w:tcW w:type="dxa" w:w="3350"/>
            <w:tcMar>
              <w:top w:type="dxa" w:w="60"/>
              <w:left w:type="dxa" w:w="100"/>
              <w:bottom w:type="dxa" w:w="60"/>
              <w:right w:type="dxa" w:w="100"/>
            </w:tcMar>
          </w:tcPr>
          <w:p>
            <w:r>
              <w:rPr>
                <w:rFonts w:ascii="Times New Roman" w:cs="Times New Roman" w:eastAsia="Times New Roman" w:hAnsi="Times New Roman"/>
                <w:sz w:val="19"/>
                <w:szCs w:val="19"/>
              </w:rPr>
              <w:t xml:space="preserve">Court-ready package with chain of custody</w:t>
            </w:r>
          </w:p>
        </w:tc>
      </w:tr>
      <w:tr>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Regulatory reporting</w:t>
            </w:r>
          </w:p>
        </w:tc>
        <w:tc>
          <w:tcPr>
            <w:tcW w:type="dxa" w:w="3300"/>
            <w:tcMar>
              <w:top w:type="dxa" w:w="60"/>
              <w:left w:type="dxa" w:w="100"/>
              <w:bottom w:type="dxa" w:w="60"/>
              <w:right w:type="dxa" w:w="100"/>
            </w:tcMar>
          </w:tcPr>
          <w:p>
            <w:r>
              <w:rPr>
                <w:rFonts w:ascii="Times New Roman" w:cs="Times New Roman" w:eastAsia="Times New Roman" w:hAnsi="Times New Roman"/>
                <w:sz w:val="19"/>
                <w:szCs w:val="19"/>
              </w:rPr>
              <w:t xml:space="preserve">Manual STR preparation</w:t>
            </w:r>
          </w:p>
        </w:tc>
        <w:tc>
          <w:tcPr>
            <w:tcW w:type="dxa" w:w="3350"/>
            <w:tcMar>
              <w:top w:type="dxa" w:w="60"/>
              <w:left w:type="dxa" w:w="100"/>
              <w:bottom w:type="dxa" w:w="60"/>
              <w:right w:type="dxa" w:w="100"/>
            </w:tcMar>
          </w:tcPr>
          <w:p>
            <w:r>
              <w:rPr>
                <w:rFonts w:ascii="Times New Roman" w:cs="Times New Roman" w:eastAsia="Times New Roman" w:hAnsi="Times New Roman"/>
                <w:sz w:val="19"/>
                <w:szCs w:val="19"/>
              </w:rPr>
              <w:t xml:space="preserve">Automated FIU-IND compatible output</w:t>
            </w:r>
          </w:p>
        </w:tc>
      </w:tr>
      <w:tr>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Unwitting mule protection</w:t>
            </w:r>
          </w:p>
        </w:tc>
        <w:tc>
          <w:tcPr>
            <w:tcW w:type="dxa" w:w="3300"/>
            <w:tcMar>
              <w:top w:type="dxa" w:w="60"/>
              <w:left w:type="dxa" w:w="100"/>
              <w:bottom w:type="dxa" w:w="60"/>
              <w:right w:type="dxa" w:w="100"/>
            </w:tcMar>
          </w:tcPr>
          <w:p>
            <w:r>
              <w:rPr>
                <w:rFonts w:ascii="Times New Roman" w:cs="Times New Roman" w:eastAsia="Times New Roman" w:hAnsi="Times New Roman"/>
                <w:sz w:val="19"/>
                <w:szCs w:val="19"/>
              </w:rPr>
              <w:t xml:space="preserve">No distinction made</w:t>
            </w:r>
          </w:p>
        </w:tc>
        <w:tc>
          <w:tcPr>
            <w:tcW w:type="dxa" w:w="3350"/>
            <w:tcMar>
              <w:top w:type="dxa" w:w="60"/>
              <w:left w:type="dxa" w:w="100"/>
              <w:bottom w:type="dxa" w:w="60"/>
              <w:right w:type="dxa" w:w="100"/>
            </w:tcMar>
          </w:tcPr>
          <w:p>
            <w:r>
              <w:rPr>
                <w:rFonts w:ascii="Times New Roman" w:cs="Times New Roman" w:eastAsia="Times New Roman" w:hAnsi="Times New Roman"/>
                <w:sz w:val="19"/>
                <w:szCs w:val="19"/>
              </w:rPr>
              <w:t xml:space="preserve">Victim identified, outreach recommended</w:t>
            </w:r>
          </w:p>
        </w:tc>
      </w:tr>
      <w:tr>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Coordinator identification</w:t>
            </w:r>
          </w:p>
        </w:tc>
        <w:tc>
          <w:tcPr>
            <w:tcW w:type="dxa" w:w="3300"/>
            <w:tcMar>
              <w:top w:type="dxa" w:w="60"/>
              <w:left w:type="dxa" w:w="100"/>
              <w:bottom w:type="dxa" w:w="60"/>
              <w:right w:type="dxa" w:w="100"/>
            </w:tcMar>
          </w:tcPr>
          <w:p>
            <w:r>
              <w:rPr>
                <w:rFonts w:ascii="Times New Roman" w:cs="Times New Roman" w:eastAsia="Times New Roman" w:hAnsi="Times New Roman"/>
                <w:sz w:val="19"/>
                <w:szCs w:val="19"/>
              </w:rPr>
              <w:t xml:space="preserve">Rarely achieved</w:t>
            </w:r>
          </w:p>
        </w:tc>
        <w:tc>
          <w:tcPr>
            <w:tcW w:type="dxa" w:w="3350"/>
            <w:tcMar>
              <w:top w:type="dxa" w:w="60"/>
              <w:left w:type="dxa" w:w="100"/>
              <w:bottom w:type="dxa" w:w="60"/>
              <w:right w:type="dxa" w:w="100"/>
            </w:tcMar>
          </w:tcPr>
          <w:p>
            <w:r>
              <w:rPr>
                <w:rFonts w:ascii="Times New Roman" w:cs="Times New Roman" w:eastAsia="Times New Roman" w:hAnsi="Times New Roman"/>
                <w:sz w:val="19"/>
                <w:szCs w:val="19"/>
              </w:rPr>
              <w:t xml:space="preserve">Automated reverse chain analysis</w:t>
            </w:r>
          </w:p>
        </w:tc>
      </w:tr>
      <w:tr>
        <w:tc>
          <w:tcPr>
            <w:tcW w:type="dxa" w:w="2700"/>
            <w:tcMar>
              <w:top w:type="dxa" w:w="60"/>
              <w:left w:type="dxa" w:w="100"/>
              <w:bottom w:type="dxa" w:w="60"/>
              <w:right w:type="dxa" w:w="100"/>
            </w:tcMar>
          </w:tcPr>
          <w:p>
            <w:r>
              <w:rPr>
                <w:rFonts w:ascii="Times New Roman" w:cs="Times New Roman" w:eastAsia="Times New Roman" w:hAnsi="Times New Roman"/>
                <w:sz w:val="19"/>
                <w:szCs w:val="19"/>
              </w:rPr>
              <w:t xml:space="preserve">Cross-case linking</w:t>
            </w:r>
          </w:p>
        </w:tc>
        <w:tc>
          <w:tcPr>
            <w:tcW w:type="dxa" w:w="3300"/>
            <w:tcMar>
              <w:top w:type="dxa" w:w="60"/>
              <w:left w:type="dxa" w:w="100"/>
              <w:bottom w:type="dxa" w:w="60"/>
              <w:right w:type="dxa" w:w="100"/>
            </w:tcMar>
          </w:tcPr>
          <w:p>
            <w:r>
              <w:rPr>
                <w:rFonts w:ascii="Times New Roman" w:cs="Times New Roman" w:eastAsia="Times New Roman" w:hAnsi="Times New Roman"/>
                <w:sz w:val="19"/>
                <w:szCs w:val="19"/>
              </w:rPr>
              <w:t xml:space="preserve">Manual comparison</w:t>
            </w:r>
          </w:p>
        </w:tc>
        <w:tc>
          <w:tcPr>
            <w:tcW w:type="dxa" w:w="3350"/>
            <w:tcMar>
              <w:top w:type="dxa" w:w="60"/>
              <w:left w:type="dxa" w:w="100"/>
              <w:bottom w:type="dxa" w:w="60"/>
              <w:right w:type="dxa" w:w="100"/>
            </w:tcMar>
          </w:tcPr>
          <w:p>
            <w:r>
              <w:rPr>
                <w:rFonts w:ascii="Times New Roman" w:cs="Times New Roman" w:eastAsia="Times New Roman" w:hAnsi="Times New Roman"/>
                <w:sz w:val="19"/>
                <w:szCs w:val="19"/>
              </w:rPr>
              <w:t xml:space="preserve">Automated identity fusion across cases</w:t>
            </w:r>
          </w:p>
        </w:tc>
      </w:tr>
    </w:tbl>
    <w:p>
      <w:pPr>
        <w:spacing w:after="200" w:before="80"/>
        <w:jc w:val="center"/>
      </w:pPr>
      <w:r>
        <w:rPr>
          <w:rFonts w:ascii="Times New Roman" w:cs="Times New Roman" w:eastAsia="Times New Roman" w:hAnsi="Times New Roman"/>
          <w:i/>
          <w:iCs/>
          <w:sz w:val="19"/>
          <w:szCs w:val="19"/>
        </w:rPr>
        <w:t xml:space="preserve">TABLE VII. Expected impact versus current manual process</w:t>
      </w:r>
    </w:p>
    <w:p>
      <w:pPr>
        <w:pStyle w:val="Heading1"/>
        <w:spacing w:after="120" w:before="240"/>
      </w:pPr>
      <w:r>
        <w:rPr>
          <w:rFonts w:ascii="Times New Roman" w:cs="Times New Roman" w:eastAsia="Times New Roman" w:hAnsi="Times New Roman"/>
          <w:b/>
          <w:bCs/>
          <w:sz w:val="22"/>
          <w:szCs w:val="22"/>
        </w:rPr>
        <w:t xml:space="preserve">VII. COMPLIANCE AND SECURITY FRAMEWORK</w:t>
      </w:r>
    </w:p>
    <w:tbl>
      <w:tblPr>
        <w:tblW w:type="dxa" w:w="9350"/>
        <w:tblBorders>
          <w:top w:val="single" w:color="999999" w:sz="4"/>
          <w:left w:val="single" w:color="999999" w:sz="4"/>
          <w:bottom w:val="single" w:color="999999" w:sz="4"/>
          <w:right w:val="single" w:color="999999" w:sz="4"/>
          <w:insideH w:val="single" w:color="CCCCCC" w:sz="2"/>
          <w:insideV w:val="single" w:color="CCCCCC" w:sz="2"/>
        </w:tblBorders>
      </w:tblPr>
      <w:tblGrid>
        <w:gridCol w:w="3600"/>
        <w:gridCol w:w="5750"/>
      </w:tblGrid>
      <w:tr>
        <w:trPr>
          <w:tblHeader/>
        </w:trPr>
        <w:tc>
          <w:tcPr>
            <w:tcW w:type="dxa" w:w="360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Framework / Regulation</w:t>
            </w:r>
          </w:p>
        </w:tc>
        <w:tc>
          <w:tcPr>
            <w:tcW w:type="dxa" w:w="5750"/>
            <w:shd w:fill="1F3864"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Requirement Addressed</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RBI IT Framework 2011</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Cybersecurity governance and incident reporting</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RBI Cybersecurity Framework 2016</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Threat intelligence, vulnerability management</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CERT-In Guidelines</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Mandatory incident reporting within 6 hours</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ISO 27001:2022</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Information security management system</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SOC 2 Type II</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Security, availability, confidentiality controls</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PCI DSS v4.0</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Protection of payment card environments</w:t>
            </w:r>
          </w:p>
        </w:tc>
      </w:tr>
      <w:tr>
        <w:tc>
          <w:tcPr>
            <w:tcW w:type="dxa" w:w="3600"/>
            <w:tcMar>
              <w:top w:type="dxa" w:w="60"/>
              <w:left w:type="dxa" w:w="100"/>
              <w:bottom w:type="dxa" w:w="60"/>
              <w:right w:type="dxa" w:w="100"/>
            </w:tcMar>
          </w:tcPr>
          <w:p>
            <w:r>
              <w:rPr>
                <w:rFonts w:ascii="Times New Roman" w:cs="Times New Roman" w:eastAsia="Times New Roman" w:hAnsi="Times New Roman"/>
                <w:sz w:val="19"/>
                <w:szCs w:val="19"/>
              </w:rPr>
              <w:t xml:space="preserve">DPDP Act 2023</w:t>
            </w:r>
          </w:p>
        </w:tc>
        <w:tc>
          <w:tcPr>
            <w:tcW w:type="dxa" w:w="5750"/>
            <w:tcMar>
              <w:top w:type="dxa" w:w="60"/>
              <w:left w:type="dxa" w:w="100"/>
              <w:bottom w:type="dxa" w:w="60"/>
              <w:right w:type="dxa" w:w="100"/>
            </w:tcMar>
          </w:tcPr>
          <w:p>
            <w:r>
              <w:rPr>
                <w:rFonts w:ascii="Times New Roman" w:cs="Times New Roman" w:eastAsia="Times New Roman" w:hAnsi="Times New Roman"/>
                <w:sz w:val="19"/>
                <w:szCs w:val="19"/>
              </w:rPr>
              <w:t xml:space="preserve">Personal data protection</w:t>
            </w:r>
          </w:p>
        </w:tc>
      </w:tr>
    </w:tbl>
    <w:p>
      <w:pPr>
        <w:spacing w:after="200" w:before="80"/>
        <w:jc w:val="center"/>
      </w:pPr>
      <w:r>
        <w:rPr>
          <w:rFonts w:ascii="Times New Roman" w:cs="Times New Roman" w:eastAsia="Times New Roman" w:hAnsi="Times New Roman"/>
          <w:i/>
          <w:iCs/>
          <w:sz w:val="19"/>
          <w:szCs w:val="19"/>
        </w:rPr>
        <w:t xml:space="preserve">TABLE VIII. TraceNetX v2.0 regulatory and compliance mapping</w:t>
      </w:r>
    </w:p>
    <w:p>
      <w:pPr>
        <w:pStyle w:val="Heading1"/>
        <w:spacing w:after="120" w:before="240"/>
      </w:pPr>
      <w:r>
        <w:rPr>
          <w:rFonts w:ascii="Times New Roman" w:cs="Times New Roman" w:eastAsia="Times New Roman" w:hAnsi="Times New Roman"/>
          <w:b/>
          <w:bCs/>
          <w:sz w:val="22"/>
          <w:szCs w:val="22"/>
        </w:rPr>
        <w:t xml:space="preserve">VIII. CONCLUSION</w:t>
      </w:r>
    </w:p>
    <w:p>
      <w:pPr>
        <w:spacing w:after="140"/>
        <w:jc w:val="both"/>
      </w:pPr>
      <w:r>
        <w:rPr>
          <w:rFonts w:ascii="Times New Roman" w:cs="Times New Roman" w:eastAsia="Times New Roman" w:hAnsi="Times New Roman"/>
          <w:sz w:val="21"/>
          <w:szCs w:val="21"/>
        </w:rPr>
        <w:t xml:space="preserve">TraceNetX v2.0 is not built merely as a fraud-detection model but as intelligence infrastructure for how Indian banks investigate, disrupt, and prosecute financial crime. By combining an ensemble ML classification engine, a Neo4j-based reverse chain analysis capability that identifies coordinators rather than isolated mules, and a graduated, explainable, evidence-generating response layer, the system compresses an investigation process that currently takes days into one completed in minutes — while ensuring every classification remains defensible to a regulator and usable in court. Built on the foundation of the original TraceNetX, winner of the Red Shield Hackathon 2026, TraceNetX v2.0 was developed for Problem Statement 2 of the Bank of India CyberShield Hackathon 2026 and, together with the ShieldNetX platform described in the companion paper above, forms one half of the team's end-to-end CyberNetX fraud-prevention suite: ShieldNetX protects the link and application vector, while TraceNetX traces the money and the network once fraud is detected.</w:t>
      </w:r>
    </w:p>
    <w:p>
      <w:pPr>
        <w:pStyle w:val="Heading1"/>
        <w:spacing w:after="120" w:before="240"/>
      </w:pPr>
      <w:r>
        <w:rPr>
          <w:rFonts w:ascii="Times New Roman" w:cs="Times New Roman" w:eastAsia="Times New Roman" w:hAnsi="Times New Roman"/>
          <w:b/>
          <w:bCs/>
          <w:sz w:val="22"/>
          <w:szCs w:val="22"/>
        </w:rPr>
        <w:t xml:space="preserve">ACKNOWLEDGMENT</w:t>
      </w:r>
    </w:p>
    <w:p>
      <w:pPr>
        <w:spacing w:after="140"/>
        <w:jc w:val="both"/>
      </w:pPr>
      <w:r>
        <w:rPr>
          <w:rFonts w:ascii="Times New Roman" w:cs="Times New Roman" w:eastAsia="Times New Roman" w:hAnsi="Times New Roman"/>
          <w:sz w:val="21"/>
          <w:szCs w:val="21"/>
        </w:rPr>
        <w:t xml:space="preserve">The authors thank the organisers of the Bank of India CyberShield Hackathon 2026 for the opportunity to develop this prototype under Problem Statement 2, and Sri Sairam Engineering College for its continued support of student-led security research.</w:t>
      </w:r>
    </w:p>
    <w:p>
      <w:pPr>
        <w:pStyle w:val="Heading1"/>
        <w:spacing w:after="120" w:before="240"/>
      </w:pPr>
      <w:r>
        <w:rPr>
          <w:rFonts w:ascii="Times New Roman" w:cs="Times New Roman" w:eastAsia="Times New Roman" w:hAnsi="Times New Roman"/>
          <w:b/>
          <w:bCs/>
          <w:sz w:val="22"/>
          <w:szCs w:val="22"/>
        </w:rPr>
        <w:t xml:space="preserve">REFERENCES</w:t>
      </w:r>
    </w:p>
    <w:p>
      <w:pPr>
        <w:spacing w:after="100"/>
      </w:pPr>
      <w:r>
        <w:rPr>
          <w:rFonts w:ascii="Times New Roman" w:cs="Times New Roman" w:eastAsia="Times New Roman" w:hAnsi="Times New Roman"/>
          <w:sz w:val="19"/>
          <w:szCs w:val="19"/>
        </w:rPr>
        <w:t xml:space="preserve">[1]  T. Chen and C. Guestrin, "XGBoost: A Scalable Tree Boosting System," in Proc. 22nd ACM SIGKDD Int. Conf. Knowledge Discovery and Data Mining, 2016, pp. 785–794.</w:t>
      </w:r>
    </w:p>
    <w:p>
      <w:pPr>
        <w:spacing w:after="100"/>
      </w:pPr>
      <w:r>
        <w:rPr>
          <w:rFonts w:ascii="Times New Roman" w:cs="Times New Roman" w:eastAsia="Times New Roman" w:hAnsi="Times New Roman"/>
          <w:sz w:val="19"/>
          <w:szCs w:val="19"/>
        </w:rPr>
        <w:t xml:space="preserve">[2]  S. M. Lundberg and S.-I. Lee, "A Unified Approach to Interpreting Model Predictions," in Advances in Neural Information Processing Systems 30, 2017, pp. 4765–4774.</w:t>
      </w:r>
    </w:p>
    <w:p>
      <w:pPr>
        <w:spacing w:after="100"/>
      </w:pPr>
      <w:r>
        <w:rPr>
          <w:rFonts w:ascii="Times New Roman" w:cs="Times New Roman" w:eastAsia="Times New Roman" w:hAnsi="Times New Roman"/>
          <w:sz w:val="19"/>
          <w:szCs w:val="19"/>
        </w:rPr>
        <w:t xml:space="preserve">[3]  N. V. Chawla, K. W. Bowyer, L. O. Hall, and W. P. Kegelmeyer, "SMOTE: Synthetic Minority Over-sampling Technique," Journal of Artificial Intelligence Research, vol. 16, pp. 321–357, 2002.</w:t>
      </w:r>
    </w:p>
    <w:p>
      <w:pPr>
        <w:spacing w:after="100"/>
      </w:pPr>
      <w:r>
        <w:rPr>
          <w:rFonts w:ascii="Times New Roman" w:cs="Times New Roman" w:eastAsia="Times New Roman" w:hAnsi="Times New Roman"/>
          <w:sz w:val="19"/>
          <w:szCs w:val="19"/>
        </w:rPr>
        <w:t xml:space="preserve">[4]  Neo4j, Inc., "Neo4j Graph Data Science Library," [Online]. Available: https://neo4j.com/product/graph-data-science/</w:t>
      </w:r>
    </w:p>
    <w:p>
      <w:pPr>
        <w:spacing w:after="100"/>
      </w:pPr>
      <w:r>
        <w:rPr>
          <w:rFonts w:ascii="Times New Roman" w:cs="Times New Roman" w:eastAsia="Times New Roman" w:hAnsi="Times New Roman"/>
          <w:sz w:val="19"/>
          <w:szCs w:val="19"/>
        </w:rPr>
        <w:t xml:space="preserve">[5]  S. Hochreiter and J. Schmidhuber, "Long Short-Term Memory," Neural Computation, vol. 9, no. 8, pp. 1735–1780, 1997.</w:t>
      </w:r>
    </w:p>
    <w:p>
      <w:pPr>
        <w:spacing w:after="100"/>
      </w:pPr>
      <w:r>
        <w:rPr>
          <w:rFonts w:ascii="Times New Roman" w:cs="Times New Roman" w:eastAsia="Times New Roman" w:hAnsi="Times New Roman"/>
          <w:sz w:val="19"/>
          <w:szCs w:val="19"/>
        </w:rPr>
        <w:t xml:space="preserve">[6]  Bank of India, "CyberShield Hackathon 2026 — Problem Statement 2: AI/ML-Based Classification of Suspicious Mule Accounts," Hackathon problem statement document, 2026.</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2026-08-17T02:29:25.715Z</dcterms:created>
  <dcterms:modified xsi:type="dcterms:W3CDTF">2026-08-17T02:29:25.728Z</dcterms:modified>
</cp:coreProperties>
</file>

<file path=docProps/custom.xml><?xml version="1.0" encoding="utf-8"?>
<Properties xmlns="http://schemas.openxmlformats.org/officeDocument/2006/custom-properties" xmlns:vt="http://schemas.openxmlformats.org/officeDocument/2006/docPropsVTypes"/>
</file>