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9270" w:type="dxa"/>
        <w:tblInd w:w="-4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570"/>
      </w:tblGrid>
      <w:tr w14:paraId="37444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700" w:type="dxa"/>
            <w:shd w:val="clear" w:color="auto" w:fill="auto"/>
          </w:tcPr>
          <w:p w14:paraId="11024666">
            <w:pPr>
              <w:spacing w:line="276" w:lineRule="auto"/>
              <w:jc w:val="center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8"/>
                <w:szCs w:val="28"/>
              </w:rPr>
              <w:t>计划</w:t>
            </w:r>
          </w:p>
        </w:tc>
        <w:tc>
          <w:tcPr>
            <w:tcW w:w="7570" w:type="dxa"/>
            <w:shd w:val="clear" w:color="auto" w:fill="auto"/>
          </w:tcPr>
          <w:p w14:paraId="1F5367C3">
            <w:pPr>
              <w:spacing w:line="276" w:lineRule="auto"/>
              <w:jc w:val="center"/>
              <w:rPr>
                <w:rFonts w:ascii="Times New Roman" w:hAnsi="Times New Roman" w:eastAsia="宋体"/>
                <w:b/>
                <w:sz w:val="28"/>
                <w:szCs w:val="28"/>
                <w:highlight w:val="yellow"/>
              </w:rPr>
            </w:pPr>
            <w:r>
              <w:rPr>
                <w:rFonts w:hint="eastAsia" w:ascii="Times New Roman" w:hAnsi="Times New Roman" w:eastAsia="宋体"/>
                <w:b/>
                <w:sz w:val="28"/>
                <w:szCs w:val="28"/>
                <w:highlight w:val="yellow"/>
              </w:rPr>
              <w:t>危疾单次保</w:t>
            </w:r>
            <w:r>
              <w:rPr>
                <w:rFonts w:ascii="Times New Roman" w:hAnsi="Times New Roman" w:eastAsia="宋体"/>
                <w:b/>
                <w:sz w:val="28"/>
                <w:szCs w:val="28"/>
                <w:highlight w:val="yellow"/>
              </w:rPr>
              <w:t>{b}</w:t>
            </w:r>
            <w:r>
              <w:rPr>
                <w:rFonts w:hint="eastAsia" w:ascii="Times New Roman" w:hAnsi="Times New Roman" w:eastAsia="宋体"/>
                <w:b/>
                <w:sz w:val="28"/>
                <w:szCs w:val="28"/>
                <w:highlight w:val="yellow"/>
              </w:rPr>
              <w:t>万美金（{{{b}*7}}万人民币）起始保额</w:t>
            </w:r>
          </w:p>
          <w:p w14:paraId="5DC059DD">
            <w:pPr>
              <w:spacing w:line="276" w:lineRule="auto"/>
              <w:jc w:val="center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bCs/>
                <w:color w:val="FF0000"/>
                <w:sz w:val="28"/>
                <w:szCs w:val="28"/>
              </w:rPr>
              <w:t>3次轻疾理赔+1次</w:t>
            </w:r>
            <w:r>
              <w:rPr>
                <w:rFonts w:ascii="Times New Roman" w:hAnsi="Times New Roman" w:eastAsia="宋体" w:cs="PMingLiU"/>
                <w:b/>
                <w:bCs/>
                <w:color w:val="FF0000"/>
                <w:sz w:val="28"/>
                <w:szCs w:val="28"/>
              </w:rPr>
              <w:t>大病/身故理赔</w:t>
            </w:r>
          </w:p>
        </w:tc>
      </w:tr>
      <w:tr w14:paraId="1979C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700" w:type="dxa"/>
            <w:shd w:val="clear" w:color="auto" w:fill="auto"/>
          </w:tcPr>
          <w:p w14:paraId="5218F8C1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受保人</w:t>
            </w:r>
          </w:p>
        </w:tc>
        <w:tc>
          <w:tcPr>
            <w:tcW w:w="7570" w:type="dxa"/>
            <w:shd w:val="clear" w:color="auto" w:fill="auto"/>
          </w:tcPr>
          <w:p w14:paraId="230BDF14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{a}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岁 不吸烟男性</w:t>
            </w:r>
          </w:p>
        </w:tc>
      </w:tr>
      <w:tr w14:paraId="7F3E4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auto"/>
          </w:tcPr>
          <w:p w14:paraId="702F29C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供款期</w:t>
            </w:r>
          </w:p>
        </w:tc>
        <w:tc>
          <w:tcPr>
            <w:tcW w:w="7570" w:type="dxa"/>
            <w:shd w:val="clear" w:color="auto" w:fill="auto"/>
          </w:tcPr>
          <w:p w14:paraId="5C63E468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{c}</w:t>
            </w:r>
            <w:r>
              <w:rPr>
                <w:rFonts w:hint="eastAsia" w:ascii="Times New Roman" w:hAnsi="Times New Roman" w:eastAsia="宋体"/>
                <w:sz w:val="24"/>
                <w:szCs w:val="24"/>
                <w:highlight w:val="white"/>
              </w:rPr>
              <w:t>年</w:t>
            </w:r>
          </w:p>
        </w:tc>
      </w:tr>
      <w:tr w14:paraId="023A5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auto"/>
          </w:tcPr>
          <w:p w14:paraId="14306B5E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每年保费</w:t>
            </w:r>
          </w:p>
        </w:tc>
        <w:tc>
          <w:tcPr>
            <w:tcW w:w="7570" w:type="dxa"/>
            <w:shd w:val="clear" w:color="auto" w:fill="auto"/>
          </w:tcPr>
          <w:p w14:paraId="2093A16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eastAsia="宋体"/>
                <w:sz w:val="24"/>
                <w:szCs w:val="24"/>
                <w:highlight w:val="yellow"/>
              </w:rPr>
              <w:t>{{{d}*1}}</w:t>
            </w:r>
            <w:r>
              <w:rPr>
                <w:rFonts w:hint="eastAsia" w:ascii="Times New Roman" w:hAnsi="Times New Roman" w:eastAsia="宋体"/>
                <w:sz w:val="24"/>
                <w:szCs w:val="24"/>
                <w:highlight w:val="yellow"/>
              </w:rPr>
              <w:t>美金</w:t>
            </w:r>
          </w:p>
          <w:p w14:paraId="5AA4E03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  <w:highlight w:val="yellow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highlight w:val="yellow"/>
              </w:rPr>
              <w:t>（约</w:t>
            </w:r>
            <w:r>
              <w:rPr>
                <w:rFonts w:ascii="Times New Roman" w:hAnsi="Times New Roman" w:eastAsia="宋体"/>
                <w:sz w:val="24"/>
                <w:szCs w:val="24"/>
                <w:highlight w:val="yellow"/>
              </w:rPr>
              <w:t>{{{d}*7/10000}}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  <w:highlight w:val="yellow"/>
              </w:rPr>
              <w:t>万人民币）</w:t>
            </w:r>
          </w:p>
        </w:tc>
      </w:tr>
      <w:tr w14:paraId="1FA68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auto"/>
          </w:tcPr>
          <w:p w14:paraId="140E7343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{c}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年</w:t>
            </w:r>
          </w:p>
          <w:p w14:paraId="096895E8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总保费</w:t>
            </w:r>
          </w:p>
        </w:tc>
        <w:tc>
          <w:tcPr>
            <w:tcW w:w="7570" w:type="dxa"/>
            <w:shd w:val="clear" w:color="auto" w:fill="auto"/>
          </w:tcPr>
          <w:p w14:paraId="6215A961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{{{d}*{c}}}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4A0AE957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{{{d}*{c}*7/10000}}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</w:tr>
      <w:tr w14:paraId="2EC23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5" w:hRule="atLeast"/>
        </w:trPr>
        <w:tc>
          <w:tcPr>
            <w:tcW w:w="1700" w:type="dxa"/>
            <w:shd w:val="clear" w:color="auto" w:fill="auto"/>
          </w:tcPr>
          <w:p w14:paraId="527CD2B5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sz w:val="24"/>
                <w:szCs w:val="24"/>
              </w:rPr>
              <w:t>关键年纪的保额+红利的金额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（即发生重疾或身故，保险公司会理赔的钱）</w:t>
            </w:r>
          </w:p>
        </w:tc>
        <w:tc>
          <w:tcPr>
            <w:tcW w:w="7570" w:type="dxa"/>
            <w:shd w:val="clear" w:color="auto" w:fill="auto"/>
          </w:tcPr>
          <w:p w14:paraId="59472293">
            <w:pPr>
              <w:spacing w:line="360" w:lineRule="auto"/>
              <w:jc w:val="center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投保前10年，送50%保额（</w:t>
            </w:r>
            <w:r>
              <w:rPr>
                <w:rFonts w:ascii="Times New Roman" w:hAnsi="Times New Roman" w:eastAsia="宋体"/>
                <w:color w:val="00B0F0"/>
                <w:sz w:val="24"/>
                <w:szCs w:val="24"/>
              </w:rPr>
              <w:t>{a}</w:t>
            </w: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-{{{a}+10}}岁）</w:t>
            </w:r>
          </w:p>
          <w:p w14:paraId="19064103">
            <w:pPr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{b}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万美金+{{{b}/2}}万额外送={{1.5*{b}}}万美金（{{10.5*{b}}}万人民币）</w:t>
            </w:r>
          </w:p>
          <w:p w14:paraId="1FF8E13D">
            <w:pPr>
              <w:spacing w:line="360" w:lineRule="auto"/>
              <w:rPr>
                <w:rFonts w:ascii="Times New Roman" w:hAnsi="Times New Roman"/>
                <w:color w:val="00B0F0"/>
                <w:sz w:val="24"/>
                <w:szCs w:val="24"/>
              </w:rPr>
            </w:pPr>
          </w:p>
          <w:p w14:paraId="29E5B023">
            <w:pPr>
              <w:spacing w:line="360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66岁：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6BA2F36C">
            <w:pPr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656165BA">
            <w:pPr>
              <w:spacing w:line="360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PMingLiU"/>
                <w:color w:val="00B0F0"/>
                <w:sz w:val="24"/>
                <w:szCs w:val="24"/>
              </w:rPr>
              <w:t>76岁：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64887532">
            <w:pPr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6204FD31">
            <w:pPr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86岁：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74722E91">
            <w:pPr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5B7174D9">
            <w:pPr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96岁：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2A9C928F">
            <w:pPr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6C7E96EB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4F70A04B">
            <w:pPr>
              <w:spacing w:line="276" w:lineRule="auto"/>
              <w:rPr>
                <w:rFonts w:ascii="Times New Roman" w:hAnsi="Times New Roman" w:eastAsia="宋体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没有发生重疾，自然身故也赔付。例如在96岁自然身故，就有</w:t>
            </w:r>
            <w:r>
              <w:rPr>
                <w:rFonts w:ascii="Times New Roman" w:hAnsi="Times New Roman" w:eastAsia="宋体"/>
                <w:color w:val="FF0000"/>
                <w:sz w:val="24"/>
                <w:szCs w:val="24"/>
              </w:rPr>
              <w:t>{{{h}/10000}}</w:t>
            </w: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万美元（{{{h}*7/10000}}万人民币）作为身故遗产，免税传承给后代。</w:t>
            </w:r>
          </w:p>
        </w:tc>
      </w:tr>
      <w:tr w14:paraId="2662B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9" w:hRule="atLeast"/>
        </w:trPr>
        <w:tc>
          <w:tcPr>
            <w:tcW w:w="1700" w:type="dxa"/>
            <w:shd w:val="clear" w:color="auto" w:fill="auto"/>
          </w:tcPr>
          <w:p w14:paraId="6CF30B3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保障内容</w:t>
            </w:r>
          </w:p>
        </w:tc>
        <w:tc>
          <w:tcPr>
            <w:tcW w:w="7570" w:type="dxa"/>
            <w:shd w:val="clear" w:color="auto" w:fill="auto"/>
          </w:tcPr>
          <w:p w14:paraId="43020FC7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>7</w:t>
            </w:r>
            <w:r>
              <w:rPr>
                <w:rFonts w:ascii="Times New Roman" w:hAnsi="Times New Roman" w:eastAsia="宋体"/>
                <w:b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>种疾病（包括5</w:t>
            </w:r>
            <w:r>
              <w:rPr>
                <w:rFonts w:ascii="Times New Roman" w:hAnsi="Times New Roman" w:eastAsia="宋体"/>
                <w:b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>种重疾和18种轻疾）</w:t>
            </w:r>
          </w:p>
          <w:p w14:paraId="41241431">
            <w:pPr>
              <w:pStyle w:val="12"/>
              <w:spacing w:line="276" w:lineRule="auto"/>
              <w:ind w:firstLine="0"/>
              <w:jc w:val="left"/>
              <w:rPr>
                <w:rFonts w:ascii="Times New Roman" w:hAnsi="Times New Roman" w:eastAsia="宋体"/>
                <w:b/>
                <w:color w:val="70AD47" w:themeColor="accent6"/>
                <w:sz w:val="24"/>
                <w:szCs w:val="24"/>
              </w:rPr>
            </w:pP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eastAsia="宋体" w:cs="PMingLiU"/>
                <w:color w:val="FF0000"/>
                <w:sz w:val="24"/>
                <w:szCs w:val="24"/>
              </w:rPr>
              <w:t>早期疾病，可以理赔3次，每次赔付保额的20%-25%，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比如保额是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{b}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万美金，轻疾理赔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{b}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万*20%，或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{b}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万*25%=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{{{b}*0.2}}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万美金或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{{{b}*0.25}}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万美金；</w:t>
            </w:r>
          </w:p>
          <w:p w14:paraId="20277FE8">
            <w:pPr>
              <w:pStyle w:val="12"/>
              <w:spacing w:line="276" w:lineRule="auto"/>
              <w:ind w:firstLine="0"/>
              <w:jc w:val="left"/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2. 重疾或身故理赔1次，赔付保额的100%+当年分红。举例：如果96岁理赔，就赔付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{{{h}*1}}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美金（基本保额是{b}万美金+分红是{{{h}-{b}*10000}}美金）</w:t>
            </w:r>
          </w:p>
        </w:tc>
      </w:tr>
      <w:tr w14:paraId="29756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9" w:hRule="atLeast"/>
        </w:trPr>
        <w:tc>
          <w:tcPr>
            <w:tcW w:w="1700" w:type="dxa"/>
            <w:tcBorders>
              <w:top w:val="nil"/>
            </w:tcBorders>
            <w:shd w:val="clear" w:color="auto" w:fill="auto"/>
          </w:tcPr>
          <w:p w14:paraId="33B4A9A9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保险配置的建议、</w:t>
            </w:r>
            <w:r>
              <w:rPr>
                <w:rFonts w:ascii="Times New Roman" w:hAnsi="Times New Roman" w:eastAsia="宋体"/>
                <w:b/>
                <w:bCs/>
                <w:color w:val="C9211E"/>
                <w:sz w:val="24"/>
                <w:szCs w:val="24"/>
              </w:rPr>
              <w:t>香港重疾险对比内地保险的优势总结</w:t>
            </w:r>
          </w:p>
        </w:tc>
        <w:tc>
          <w:tcPr>
            <w:tcW w:w="7570" w:type="dxa"/>
            <w:tcBorders>
              <w:top w:val="nil"/>
            </w:tcBorders>
            <w:shd w:val="clear" w:color="auto" w:fill="auto"/>
          </w:tcPr>
          <w:p w14:paraId="34DD9395">
            <w:pPr>
              <w:spacing w:line="276" w:lineRule="auto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PMingLiU"/>
                <w:sz w:val="24"/>
                <w:szCs w:val="24"/>
              </w:rPr>
              <w:t xml:space="preserve">1.  </w:t>
            </w: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>从两地制度监管来说：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内地保险是80年代末才发展起来的，在内地金融业板块中，仍然是薄弱落后的行业。而香港作为国际金融中心，保险行业发展成熟，已有100多年的历史，</w:t>
            </w:r>
            <w:r>
              <w:rPr>
                <w:rFonts w:ascii="Times New Roman" w:hAnsi="Times New Roman" w:eastAsia="宋体" w:cs="PMingLiU"/>
                <w:b/>
                <w:bCs/>
                <w:color w:val="C9211E"/>
                <w:sz w:val="24"/>
                <w:szCs w:val="24"/>
              </w:rPr>
              <w:t>保险行业排名世界第一。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香港法律体系完善，理赔纠纷少，客户投保更放心。</w:t>
            </w:r>
          </w:p>
          <w:p w14:paraId="33739724">
            <w:pPr>
              <w:spacing w:line="276" w:lineRule="auto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PMingLiU"/>
                <w:sz w:val="24"/>
                <w:szCs w:val="24"/>
              </w:rPr>
              <w:t xml:space="preserve">2. </w:t>
            </w: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>从公司品牌来说：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保险是长期储蓄，要</w:t>
            </w:r>
            <w:r>
              <w:rPr>
                <w:rFonts w:ascii="Times New Roman" w:hAnsi="Times New Roman" w:eastAsia="宋体" w:cs="PMingLiU"/>
                <w:b/>
                <w:bCs/>
                <w:color w:val="FF4000"/>
                <w:sz w:val="24"/>
                <w:szCs w:val="24"/>
              </w:rPr>
              <w:t>选择大品牌，公司投资和管理实力强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的大公司，经得起风雨、扛得住经济危机，未来几十年后的理赔才有保证。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  <w:highlight w:val="yellow"/>
              </w:rPr>
              <w:t>保诚是英国最大的人身险公司，也是英国皇家保险公司，理赔过戴安娜王妃身故案、泰坦尼克号沉没等，已有17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  <w:highlight w:val="yellow"/>
                <w:lang w:val="en-US" w:eastAsia="zh-CN"/>
              </w:rPr>
              <w:t>8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  <w:highlight w:val="yellow"/>
              </w:rPr>
              <w:t>年历史，是著名老牌保险公司。</w:t>
            </w:r>
          </w:p>
          <w:p w14:paraId="747A1C03">
            <w:pPr>
              <w:spacing w:line="276" w:lineRule="auto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 w:eastAsia="宋体" w:cs="PMingLiU"/>
                <w:b/>
                <w:bCs/>
                <w:color w:val="000000"/>
                <w:sz w:val="24"/>
                <w:szCs w:val="24"/>
              </w:rPr>
              <w:t>国内保险的保额，不能分红不增长，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也就是说，现在投保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100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万人民币，等到年老时万一要用，还是只能理赔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100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万，</w:t>
            </w:r>
            <w:r>
              <w:rPr>
                <w:rFonts w:ascii="Times New Roman" w:hAnsi="Times New Roman" w:eastAsia="宋体" w:cs="PMingLiU"/>
                <w:color w:val="CE181E"/>
                <w:sz w:val="24"/>
                <w:szCs w:val="24"/>
              </w:rPr>
              <w:t>远不能抵御通货膨胀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（中国的医疗通胀率是9%）。</w:t>
            </w:r>
            <w:r>
              <w:rPr>
                <w:rFonts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香港的保额不断增长，可抗通胀（比如起始保额是</w:t>
            </w:r>
            <w:r>
              <w:rPr>
                <w:rFonts w:hint="eastAsia"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100</w:t>
            </w:r>
            <w:r>
              <w:rPr>
                <w:rFonts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万人民币，86岁时可理赔</w:t>
            </w:r>
            <w:r>
              <w:rPr>
                <w:rFonts w:hint="eastAsia"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296</w:t>
            </w:r>
            <w:r>
              <w:rPr>
                <w:rFonts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万人民币，保持购买力）。</w:t>
            </w:r>
          </w:p>
          <w:p w14:paraId="0B919A6D">
            <w:pPr>
              <w:spacing w:line="276" w:lineRule="auto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 xml:space="preserve">4. </w:t>
            </w:r>
            <w:r>
              <w:rPr>
                <w:rFonts w:ascii="Times New Roman" w:hAnsi="Times New Roman" w:eastAsia="宋体" w:cs="PMingLiU"/>
                <w:b/>
                <w:bCs/>
                <w:color w:val="000000"/>
                <w:sz w:val="24"/>
                <w:szCs w:val="24"/>
              </w:rPr>
              <w:t>货币选择：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香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港保险是</w:t>
            </w:r>
            <w:r>
              <w:rPr>
                <w:rFonts w:ascii="Times New Roman" w:hAnsi="Times New Roman" w:eastAsia="宋体" w:cs="PMingLiU"/>
                <w:sz w:val="24"/>
                <w:szCs w:val="24"/>
                <w:highlight w:val="yellow"/>
              </w:rPr>
              <w:t>美金计价。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两种货币的购买力，</w:t>
            </w:r>
            <w:r>
              <w:rPr>
                <w:rFonts w:ascii="Times New Roman" w:hAnsi="Times New Roman" w:eastAsia="宋体" w:cs="PMingLiU"/>
                <w:color w:val="CE181E"/>
                <w:sz w:val="24"/>
                <w:szCs w:val="24"/>
              </w:rPr>
              <w:t>美金更保值：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人民币每年贬值幅度为</w:t>
            </w:r>
            <w:r>
              <w:rPr>
                <w:rFonts w:ascii="Times New Roman" w:hAnsi="Times New Roman" w:eastAsia="宋体"/>
                <w:sz w:val="24"/>
                <w:szCs w:val="24"/>
                <w:highlight w:val="yellow"/>
              </w:rPr>
              <w:t>7</w:t>
            </w:r>
            <w:r>
              <w:rPr>
                <w:rFonts w:ascii="Times New Roman" w:hAnsi="Times New Roman" w:eastAsia="宋体" w:cs="PMingLiU"/>
                <w:sz w:val="24"/>
                <w:szCs w:val="24"/>
                <w:highlight w:val="yellow"/>
              </w:rPr>
              <w:t>%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 xml:space="preserve">  vs 美金每年贬值幅度为</w:t>
            </w:r>
            <w:r>
              <w:rPr>
                <w:rFonts w:ascii="Times New Roman" w:hAnsi="Times New Roman" w:eastAsia="宋体"/>
                <w:sz w:val="24"/>
                <w:szCs w:val="24"/>
                <w:highlight w:val="yellow"/>
              </w:rPr>
              <w:t>2</w:t>
            </w:r>
            <w:r>
              <w:rPr>
                <w:rFonts w:ascii="Times New Roman" w:hAnsi="Times New Roman" w:eastAsia="宋体" w:cs="PMingLiU"/>
                <w:sz w:val="24"/>
                <w:szCs w:val="24"/>
                <w:highlight w:val="yellow"/>
              </w:rPr>
              <w:t>%</w:t>
            </w:r>
          </w:p>
          <w:p w14:paraId="6BDDFA79">
            <w:pPr>
              <w:spacing w:line="276" w:lineRule="auto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PMingLiU"/>
                <w:b/>
                <w:bCs/>
                <w:color w:val="000000"/>
                <w:sz w:val="24"/>
                <w:szCs w:val="24"/>
              </w:rPr>
              <w:t>5. 国内保险理赔定义比香港苛刻，不保事项更多：先天性疾病、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犯罪、核爆炸、酒后驾驶发生重疾，都不能赔。比如，肾透析要超过90天才可以理赔。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而香港没有时间要求，</w:t>
            </w:r>
            <w:r>
              <w:rPr>
                <w:rFonts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理赔更人性化。</w:t>
            </w:r>
          </w:p>
          <w:p w14:paraId="3DDEDA9C">
            <w:pPr>
              <w:spacing w:line="276" w:lineRule="auto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PMingLiU"/>
                <w:b/>
                <w:bCs/>
                <w:color w:val="000000"/>
                <w:sz w:val="24"/>
                <w:szCs w:val="24"/>
              </w:rPr>
              <w:t>6. 香港保险是全球理赔，保障范围广。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尤其现在大家经常出国旅游，孩子长大后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  <w:lang w:val="en-US" w:eastAsia="zh-CN"/>
              </w:rPr>
              <w:t>可能</w:t>
            </w:r>
            <w:bookmarkStart w:id="0" w:name="_GoBack"/>
            <w:bookmarkEnd w:id="0"/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出国留学，有一份全球保障的保险更安心。内地的保险，只能在国内公立医院理赔，使用范围窄。</w:t>
            </w:r>
          </w:p>
        </w:tc>
      </w:tr>
    </w:tbl>
    <w:p w14:paraId="17F63918">
      <w:pPr>
        <w:rPr>
          <w:rFonts w:ascii="Times New Roman" w:hAnsi="Times New Roman"/>
        </w:rPr>
      </w:pPr>
    </w:p>
    <w:sectPr>
      <w:pgSz w:w="11906" w:h="16838"/>
      <w:pgMar w:top="1440" w:right="1800" w:bottom="1440" w:left="1800" w:header="0" w:footer="0" w:gutter="0"/>
      <w:cols w:space="720" w:num="1"/>
      <w:formProt w:val="0"/>
      <w:docGrid w:type="lines" w:linePitch="312" w:charSpace="57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Liberation San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PMingLiU">
    <w:altName w:val="Perpetua Titling MT"/>
    <w:panose1 w:val="02020500000000000000"/>
    <w:charset w:val="00"/>
    <w:family w:val="auto"/>
    <w:pitch w:val="default"/>
    <w:sig w:usb0="00000000" w:usb1="00000000" w:usb2="00000000" w:usb3="00000000" w:csb0="00000000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MmRkZDhkYTIxYmI4NDE2NjFlN2YzMjUzMTVlMjg3ZDgifQ=="/>
  </w:docVars>
  <w:rsids>
    <w:rsidRoot w:val="00FE068E"/>
    <w:rsid w:val="00065DA5"/>
    <w:rsid w:val="000F6EB6"/>
    <w:rsid w:val="000F7E29"/>
    <w:rsid w:val="00142849"/>
    <w:rsid w:val="00151ED1"/>
    <w:rsid w:val="001645A2"/>
    <w:rsid w:val="00191B3F"/>
    <w:rsid w:val="001F4662"/>
    <w:rsid w:val="00206D19"/>
    <w:rsid w:val="00301346"/>
    <w:rsid w:val="00307C40"/>
    <w:rsid w:val="0036672C"/>
    <w:rsid w:val="003A139E"/>
    <w:rsid w:val="003E55A8"/>
    <w:rsid w:val="003F6D54"/>
    <w:rsid w:val="003F6E15"/>
    <w:rsid w:val="00410E35"/>
    <w:rsid w:val="00446975"/>
    <w:rsid w:val="00491A61"/>
    <w:rsid w:val="004F5B67"/>
    <w:rsid w:val="00514CE3"/>
    <w:rsid w:val="00594788"/>
    <w:rsid w:val="005C3E25"/>
    <w:rsid w:val="00626876"/>
    <w:rsid w:val="00684A94"/>
    <w:rsid w:val="00757A63"/>
    <w:rsid w:val="0077727B"/>
    <w:rsid w:val="0080624A"/>
    <w:rsid w:val="008479CD"/>
    <w:rsid w:val="008634F0"/>
    <w:rsid w:val="008A7D5A"/>
    <w:rsid w:val="008E3642"/>
    <w:rsid w:val="009920D9"/>
    <w:rsid w:val="00A23FDD"/>
    <w:rsid w:val="00A36894"/>
    <w:rsid w:val="00A802B4"/>
    <w:rsid w:val="00B735AF"/>
    <w:rsid w:val="00B86F44"/>
    <w:rsid w:val="00BB1D58"/>
    <w:rsid w:val="00BD4336"/>
    <w:rsid w:val="00C04693"/>
    <w:rsid w:val="00CC1DB5"/>
    <w:rsid w:val="00CE475B"/>
    <w:rsid w:val="00D16FD9"/>
    <w:rsid w:val="00D41324"/>
    <w:rsid w:val="00DA6208"/>
    <w:rsid w:val="00DB092E"/>
    <w:rsid w:val="00DC61DD"/>
    <w:rsid w:val="00E155DD"/>
    <w:rsid w:val="00E56151"/>
    <w:rsid w:val="00E90799"/>
    <w:rsid w:val="00E96951"/>
    <w:rsid w:val="00F67304"/>
    <w:rsid w:val="00FB4CF0"/>
    <w:rsid w:val="00FE068E"/>
    <w:rsid w:val="102962AF"/>
    <w:rsid w:val="14C8078D"/>
    <w:rsid w:val="1E2F2527"/>
    <w:rsid w:val="2E8309EA"/>
    <w:rsid w:val="5A9A061F"/>
    <w:rsid w:val="5D7A4E55"/>
    <w:rsid w:val="5EAA6964"/>
    <w:rsid w:val="6F7A47B8"/>
    <w:rsid w:val="7EED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after="140" w:line="276" w:lineRule="auto"/>
    </w:p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3"/>
    <w:qFormat/>
    <w:uiPriority w:val="0"/>
    <w:rPr>
      <w:rFonts w:cs="Lucida Sans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Microsoft JhengHei" w:cs="Lucida Sans"/>
      <w:sz w:val="28"/>
      <w:szCs w:val="28"/>
    </w:rPr>
  </w:style>
  <w:style w:type="paragraph" w:customStyle="1" w:styleId="11">
    <w:name w:val="索引"/>
    <w:basedOn w:val="1"/>
    <w:qFormat/>
    <w:uiPriority w:val="0"/>
    <w:pPr>
      <w:suppressLineNumbers/>
    </w:pPr>
    <w:rPr>
      <w:rFonts w:cs="Lucida Sans"/>
    </w:rPr>
  </w:style>
  <w:style w:type="paragraph" w:styleId="12">
    <w:name w:val="List Paragraph"/>
    <w:basedOn w:val="1"/>
    <w:qFormat/>
    <w:uiPriority w:val="34"/>
    <w:pPr>
      <w:ind w:firstLine="420"/>
    </w:pPr>
  </w:style>
  <w:style w:type="paragraph" w:customStyle="1" w:styleId="13">
    <w:name w:val="表格内容"/>
    <w:basedOn w:val="1"/>
    <w:qFormat/>
    <w:uiPriority w:val="0"/>
    <w:pPr>
      <w:suppressLineNumbers/>
    </w:pPr>
  </w:style>
  <w:style w:type="paragraph" w:customStyle="1" w:styleId="14">
    <w:name w:val="表格标题"/>
    <w:basedOn w:val="13"/>
    <w:qFormat/>
    <w:uiPriority w:val="0"/>
    <w:pPr>
      <w:jc w:val="center"/>
    </w:pPr>
    <w:rPr>
      <w:b/>
      <w:bCs/>
    </w:rPr>
  </w:style>
  <w:style w:type="character" w:customStyle="1" w:styleId="15">
    <w:name w:val="页眉 字符"/>
    <w:basedOn w:val="9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6">
    <w:name w:val="页脚 字符"/>
    <w:basedOn w:val="9"/>
    <w:link w:val="4"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988</Words>
  <Characters>1325</Characters>
  <Lines>9</Lines>
  <Paragraphs>2</Paragraphs>
  <TotalTime>23</TotalTime>
  <ScaleCrop>false</ScaleCrop>
  <LinksUpToDate>false</LinksUpToDate>
  <CharactersWithSpaces>1338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2017-10-28T10:24:00Z</dcterms:created>
  <dc:creator>XU Minjun</dc:creator>
  <cp:lastModifiedBy>刘阳</cp:lastModifiedBy>
  <cp:lastPrinted>2023-08-03T09:08:00Z</cp:lastPrinted>
  <dcterms:modified xsi:type="dcterms:W3CDTF">2026-01-12T02:27:03Z</dcterms:modified>
  <cp:revision>285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2052-12.1.0.24031</vt:lpwstr>
  </property>
  <property fmtid="{D5CDD505-2E9C-101B-9397-08002B2CF9AE}" pid="10" name="ICV">
    <vt:lpwstr>916EB5B5BA06477B917842886B158E47_12</vt:lpwstr>
  </property>
  <property fmtid="{D5CDD505-2E9C-101B-9397-08002B2CF9AE}" pid="11" name="KSOTemplateDocerSaveRecord">
    <vt:lpwstr>eyJoZGlkIjoiNjc5NDFmYjllYzExZjg0MGNkNDM2M2Q1ZDQ1MzNiNDgiLCJ1c2VySWQiOiIxMDA4MDYxODE0In0=</vt:lpwstr>
  </property>
</Properties>
</file>