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9288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7870"/>
      </w:tblGrid>
      <w:tr w14:paraId="0C74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418" w:type="dxa"/>
          </w:tcPr>
          <w:p w14:paraId="599E240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计划名称</w:t>
            </w:r>
          </w:p>
        </w:tc>
        <w:tc>
          <w:tcPr>
            <w:tcW w:w="7870" w:type="dxa"/>
          </w:tcPr>
          <w:p w14:paraId="22D9E549">
            <w:pPr>
              <w:spacing w:line="360" w:lineRule="auto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sz w:val="30"/>
                <w:szCs w:val="30"/>
              </w:rPr>
              <w:t xml:space="preserve">加强版：诚保一生 </w:t>
            </w:r>
            <w:r>
              <w:rPr>
                <w:rFonts w:hint="eastAsia" w:ascii="宋体" w:hAnsi="宋体" w:eastAsia="宋体"/>
                <w:b/>
                <w:sz w:val="30"/>
                <w:szCs w:val="30"/>
                <w:lang w:val="en-US" w:eastAsia="zh-CN"/>
              </w:rPr>
              <w:t>多次理赔</w:t>
            </w:r>
            <w:r>
              <w:rPr>
                <w:rFonts w:ascii="宋体" w:hAnsi="宋体" w:eastAsia="宋体"/>
                <w:b/>
                <w:sz w:val="30"/>
                <w:szCs w:val="30"/>
              </w:rPr>
              <w:t>重疾险</w:t>
            </w:r>
          </w:p>
          <w:p w14:paraId="1C3DDDD7">
            <w:pPr>
              <w:spacing w:line="360" w:lineRule="auto"/>
              <w:jc w:val="center"/>
              <w:rPr>
                <w:rFonts w:hint="eastAsia" w:asciiTheme="minorEastAsia" w:hAnsiTheme="minorEastAsia"/>
                <w:sz w:val="28"/>
                <w:szCs w:val="28"/>
              </w:rPr>
            </w:pPr>
            <w:r>
              <w:rPr>
                <w:rFonts w:eastAsia="宋体" w:cs="PMingLiU" w:asciiTheme="minorEastAsia" w:hAnsiTheme="minorEastAsia"/>
                <w:b/>
                <w:bCs/>
                <w:color w:val="FF0000"/>
                <w:sz w:val="30"/>
                <w:szCs w:val="30"/>
              </w:rPr>
              <w:t>高达10次大病理赔+1次身故保障+老年病年金保障</w:t>
            </w:r>
          </w:p>
        </w:tc>
      </w:tr>
      <w:tr w14:paraId="25051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418" w:type="dxa"/>
          </w:tcPr>
          <w:p w14:paraId="6256DB2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家庭成员</w:t>
            </w:r>
          </w:p>
        </w:tc>
        <w:tc>
          <w:tcPr>
            <w:tcW w:w="7870" w:type="dxa"/>
          </w:tcPr>
          <w:p w14:paraId="39239482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{a}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岁男孩</w:t>
            </w:r>
          </w:p>
        </w:tc>
      </w:tr>
      <w:tr w14:paraId="2F770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418" w:type="dxa"/>
            <w:tcBorders>
              <w:top w:val="nil"/>
            </w:tcBorders>
          </w:tcPr>
          <w:p w14:paraId="4E7A400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初始保额</w:t>
            </w:r>
          </w:p>
        </w:tc>
        <w:tc>
          <w:tcPr>
            <w:tcW w:w="7870" w:type="dxa"/>
            <w:tcBorders>
              <w:top w:val="nil"/>
            </w:tcBorders>
          </w:tcPr>
          <w:p w14:paraId="42F79760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  <w:highlight w:val="yellow"/>
              </w:rPr>
            </w:pPr>
            <w:r>
              <w:rPr>
                <w:rFonts w:ascii="宋体" w:hAnsi="宋体" w:eastAsia="宋体"/>
                <w:sz w:val="24"/>
                <w:szCs w:val="24"/>
                <w:highlight w:val="yellow"/>
              </w:rPr>
              <w:t>{b}</w:t>
            </w:r>
            <w:r>
              <w:rPr>
                <w:rFonts w:hint="eastAsia" w:ascii="宋体" w:hAnsi="宋体" w:eastAsia="宋体"/>
                <w:sz w:val="24"/>
                <w:szCs w:val="24"/>
                <w:highlight w:val="yellow"/>
              </w:rPr>
              <w:t>万美金（</w:t>
            </w:r>
            <w:r>
              <w:rPr>
                <w:rFonts w:ascii="宋体" w:hAnsi="宋体" w:eastAsia="宋体"/>
                <w:sz w:val="24"/>
                <w:szCs w:val="24"/>
                <w:highlight w:val="yellow"/>
              </w:rPr>
              <w:t>{{{b}*7}}万人民币）</w:t>
            </w:r>
          </w:p>
        </w:tc>
      </w:tr>
      <w:tr w14:paraId="7540B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</w:tcPr>
          <w:p w14:paraId="051DCCF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供款期</w:t>
            </w:r>
          </w:p>
        </w:tc>
        <w:tc>
          <w:tcPr>
            <w:tcW w:w="7870" w:type="dxa"/>
          </w:tcPr>
          <w:p w14:paraId="634BFD49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{c}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年</w:t>
            </w:r>
          </w:p>
        </w:tc>
      </w:tr>
      <w:tr w14:paraId="286A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</w:tcPr>
          <w:p w14:paraId="4F5894A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每年保费</w:t>
            </w:r>
          </w:p>
        </w:tc>
        <w:tc>
          <w:tcPr>
            <w:tcW w:w="7870" w:type="dxa"/>
          </w:tcPr>
          <w:p w14:paraId="144B50E4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{{{d}*1}}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美金（约</w:t>
            </w:r>
            <w:r>
              <w:rPr>
                <w:rFonts w:ascii="宋体" w:hAnsi="宋体" w:eastAsia="宋体"/>
                <w:sz w:val="24"/>
                <w:szCs w:val="24"/>
              </w:rPr>
              <w:t>{{{d}*7/10000}}万人民币）</w:t>
            </w:r>
          </w:p>
        </w:tc>
      </w:tr>
      <w:tr w14:paraId="3D5B0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</w:tcPr>
          <w:p w14:paraId="61F8F52B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{c}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年</w:t>
            </w:r>
          </w:p>
          <w:p w14:paraId="29B512F7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总保费</w:t>
            </w:r>
          </w:p>
        </w:tc>
        <w:tc>
          <w:tcPr>
            <w:tcW w:w="7870" w:type="dxa"/>
            <w:vAlign w:val="center"/>
          </w:tcPr>
          <w:p w14:paraId="22A55FDB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{{{d}*{c}}}美金（{{{d}*{c}*7/10000}}万人民币）</w:t>
            </w:r>
          </w:p>
        </w:tc>
      </w:tr>
      <w:tr w14:paraId="3971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2" w:hRule="atLeast"/>
        </w:trPr>
        <w:tc>
          <w:tcPr>
            <w:tcW w:w="1418" w:type="dxa"/>
          </w:tcPr>
          <w:p w14:paraId="68C30DC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不同年纪的保额：</w:t>
            </w:r>
            <w:r>
              <w:rPr>
                <w:rFonts w:ascii="宋体" w:hAnsi="宋体"/>
                <w:sz w:val="24"/>
                <w:szCs w:val="24"/>
                <w:highlight w:val="yellow"/>
              </w:rPr>
              <w:t>年纪越大，赔付越多</w:t>
            </w:r>
            <w:r>
              <w:rPr>
                <w:rFonts w:hint="eastAsia" w:ascii="宋体" w:hAnsi="宋体"/>
                <w:sz w:val="24"/>
                <w:szCs w:val="24"/>
                <w:highlight w:val="yellow"/>
              </w:rPr>
              <w:t>（基本保额1</w:t>
            </w:r>
            <w:r>
              <w:rPr>
                <w:rFonts w:ascii="宋体" w:hAnsi="宋体"/>
                <w:sz w:val="24"/>
                <w:szCs w:val="24"/>
                <w:highlight w:val="yellow"/>
              </w:rPr>
              <w:t>0</w:t>
            </w:r>
            <w:r>
              <w:rPr>
                <w:rFonts w:hint="eastAsia" w:ascii="宋体" w:hAnsi="宋体"/>
                <w:sz w:val="24"/>
                <w:szCs w:val="24"/>
                <w:highlight w:val="yellow"/>
              </w:rPr>
              <w:t>万美金+当年分红）</w:t>
            </w:r>
          </w:p>
        </w:tc>
        <w:tc>
          <w:tcPr>
            <w:tcW w:w="7870" w:type="dxa"/>
          </w:tcPr>
          <w:p w14:paraId="1DF40C92">
            <w:pPr>
              <w:spacing w:line="360" w:lineRule="auto"/>
              <w:jc w:val="center"/>
              <w:rPr>
                <w:rFonts w:hint="eastAsia" w:ascii="宋体" w:hAnsi="宋体" w:eastAsia="宋体"/>
                <w:color w:val="00B0F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B0F0"/>
                <w:sz w:val="24"/>
                <w:szCs w:val="24"/>
              </w:rPr>
              <w:t>投保前</w:t>
            </w:r>
            <w:r>
              <w:rPr>
                <w:rFonts w:ascii="宋体" w:hAnsi="宋体" w:eastAsia="宋体"/>
                <w:color w:val="00B0F0"/>
                <w:sz w:val="24"/>
                <w:szCs w:val="24"/>
              </w:rPr>
              <w:t>10年，送50%保额（{a}-{{{a}+10}}岁）</w:t>
            </w:r>
          </w:p>
          <w:p w14:paraId="3692F3E3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{b}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万美金</w:t>
            </w:r>
            <w:r>
              <w:rPr>
                <w:rFonts w:ascii="宋体" w:hAnsi="宋体" w:eastAsia="宋体"/>
                <w:sz w:val="24"/>
                <w:szCs w:val="24"/>
              </w:rPr>
              <w:t>+{{{b}/2}}万额外送={{1.5*{b}}}万美金（{{10.5*{b}}}万人民币）</w:t>
            </w:r>
          </w:p>
          <w:p w14:paraId="3EA323CE">
            <w:pPr>
              <w:spacing w:line="360" w:lineRule="auto"/>
              <w:rPr>
                <w:color w:val="00B0F0"/>
                <w:sz w:val="24"/>
                <w:szCs w:val="24"/>
              </w:rPr>
            </w:pPr>
          </w:p>
          <w:p w14:paraId="13A17599">
            <w:pPr>
              <w:spacing w:line="360" w:lineRule="auto"/>
              <w:jc w:val="center"/>
              <w:rPr>
                <w:rFonts w:hint="eastAsia" w:ascii="宋体" w:hAnsi="宋体" w:eastAsia="宋体"/>
                <w:color w:val="111111"/>
                <w:sz w:val="24"/>
                <w:szCs w:val="24"/>
              </w:rPr>
            </w:pPr>
            <w:r>
              <w:rPr>
                <w:rFonts w:ascii="宋体" w:hAnsi="宋体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宋体" w:hAnsi="宋体" w:eastAsia="宋体"/>
                <w:color w:val="111111"/>
                <w:sz w:val="24"/>
                <w:szCs w:val="24"/>
              </w:rPr>
              <w:t>{{{e}*1}}</w:t>
            </w:r>
            <w:r>
              <w:rPr>
                <w:rFonts w:hint="eastAsia" w:ascii="宋体" w:hAnsi="宋体" w:eastAsia="宋体"/>
                <w:color w:val="111111"/>
                <w:sz w:val="24"/>
                <w:szCs w:val="24"/>
              </w:rPr>
              <w:t>美金</w:t>
            </w:r>
          </w:p>
          <w:p w14:paraId="3429274E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</w:t>
            </w:r>
            <w:r>
              <w:rPr>
                <w:rFonts w:ascii="宋体" w:hAnsi="宋体" w:eastAsia="宋体"/>
                <w:color w:val="111111"/>
                <w:sz w:val="24"/>
                <w:szCs w:val="24"/>
              </w:rPr>
              <w:t>{{{e}*7/10000}}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万人民币）</w:t>
            </w:r>
          </w:p>
          <w:p w14:paraId="29D5A212">
            <w:pPr>
              <w:spacing w:line="360" w:lineRule="auto"/>
              <w:jc w:val="center"/>
              <w:rPr>
                <w:rFonts w:hint="eastAsia" w:ascii="宋体" w:hAnsi="宋体" w:eastAsia="宋体"/>
                <w:color w:val="111111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宋体" w:hAnsi="宋体" w:eastAsia="宋体"/>
                <w:color w:val="111111"/>
                <w:sz w:val="24"/>
                <w:szCs w:val="24"/>
              </w:rPr>
              <w:t>{{{f}*1}}</w:t>
            </w:r>
            <w:r>
              <w:rPr>
                <w:rFonts w:hint="eastAsia" w:ascii="宋体" w:hAnsi="宋体" w:eastAsia="宋体"/>
                <w:color w:val="111111"/>
                <w:sz w:val="24"/>
                <w:szCs w:val="24"/>
              </w:rPr>
              <w:t>美金</w:t>
            </w:r>
          </w:p>
          <w:p w14:paraId="03B75200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</w:t>
            </w:r>
            <w:r>
              <w:rPr>
                <w:rFonts w:ascii="宋体" w:hAnsi="宋体" w:eastAsia="宋体"/>
                <w:color w:val="111111"/>
                <w:sz w:val="24"/>
                <w:szCs w:val="24"/>
              </w:rPr>
              <w:t>{{{f}*7/10000}}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万人民币）</w:t>
            </w:r>
          </w:p>
          <w:p w14:paraId="2AD18C17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宋体" w:hAnsi="宋体" w:eastAsia="宋体"/>
                <w:color w:val="111111"/>
                <w:sz w:val="24"/>
                <w:szCs w:val="24"/>
              </w:rPr>
              <w:t>{{{g}*1}}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美金</w:t>
            </w:r>
          </w:p>
          <w:p w14:paraId="43F809C6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</w:t>
            </w:r>
            <w:r>
              <w:rPr>
                <w:rFonts w:ascii="宋体" w:hAnsi="宋体" w:eastAsia="宋体"/>
                <w:color w:val="111111"/>
                <w:sz w:val="24"/>
                <w:szCs w:val="24"/>
              </w:rPr>
              <w:t>{{{g}*7/10000}}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万人民币）</w:t>
            </w:r>
          </w:p>
          <w:p w14:paraId="1D9BCC58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宋体" w:hAnsi="宋体" w:eastAsia="宋体"/>
                <w:color w:val="111111"/>
                <w:sz w:val="24"/>
                <w:szCs w:val="24"/>
              </w:rPr>
              <w:t>{{{h}*1}}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美金</w:t>
            </w:r>
          </w:p>
          <w:p w14:paraId="7CFB1685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</w:t>
            </w:r>
            <w:r>
              <w:rPr>
                <w:rFonts w:ascii="宋体" w:hAnsi="宋体" w:eastAsia="宋体"/>
                <w:color w:val="111111"/>
                <w:sz w:val="24"/>
                <w:szCs w:val="24"/>
              </w:rPr>
              <w:t>{{{h}*7/10000}}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万人民币）</w:t>
            </w:r>
          </w:p>
          <w:p w14:paraId="479BE24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243ADDB">
            <w:pPr>
              <w:spacing w:line="360" w:lineRule="auto"/>
              <w:rPr>
                <w:rFonts w:hint="eastAsia" w:ascii="宋体" w:hAnsi="宋体" w:eastAsia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4"/>
                <w:szCs w:val="24"/>
              </w:rPr>
              <w:t>自然身故也是理赔的，比如</w:t>
            </w:r>
            <w:r>
              <w:rPr>
                <w:rFonts w:ascii="宋体" w:hAnsi="宋体" w:eastAsia="宋体"/>
                <w:color w:val="FF0000"/>
                <w:sz w:val="24"/>
                <w:szCs w:val="24"/>
              </w:rPr>
              <w:t>96岁自然身故，就有{{{h}/10000}}</w:t>
            </w:r>
            <w:r>
              <w:rPr>
                <w:rFonts w:hint="eastAsia" w:ascii="宋体" w:hAnsi="宋体" w:eastAsia="宋体"/>
                <w:color w:val="FF0000"/>
                <w:sz w:val="24"/>
                <w:szCs w:val="24"/>
              </w:rPr>
              <w:t>万美金（</w:t>
            </w:r>
            <w:r>
              <w:rPr>
                <w:rFonts w:ascii="宋体" w:hAnsi="宋体" w:eastAsia="宋体"/>
                <w:color w:val="FF0000"/>
                <w:sz w:val="24"/>
                <w:szCs w:val="24"/>
              </w:rPr>
              <w:t>{{{h}*7/10000}}万人民币），作为身故遗产，传承给他的孩子。</w:t>
            </w:r>
          </w:p>
        </w:tc>
      </w:tr>
      <w:tr w14:paraId="3453A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4" w:hRule="atLeast"/>
        </w:trPr>
        <w:tc>
          <w:tcPr>
            <w:tcW w:w="1418" w:type="dxa"/>
          </w:tcPr>
          <w:p w14:paraId="5355AA3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保障内容</w:t>
            </w:r>
          </w:p>
        </w:tc>
        <w:tc>
          <w:tcPr>
            <w:tcW w:w="7870" w:type="dxa"/>
          </w:tcPr>
          <w:p w14:paraId="357BFA17">
            <w:pPr>
              <w:spacing w:line="360" w:lineRule="auto"/>
              <w:jc w:val="center"/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  <w:t>127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种疾病</w:t>
            </w:r>
          </w:p>
          <w:p w14:paraId="7A1555D4">
            <w:pPr>
              <w:spacing w:line="360" w:lineRule="auto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  <w:highlight w:val="yellow"/>
              </w:rPr>
              <w:t>（包括56种重疾</w:t>
            </w: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  <w:highlight w:val="yellow"/>
              </w:rPr>
              <w:t>、49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  <w:highlight w:val="yellow"/>
              </w:rPr>
              <w:t>种轻疾</w:t>
            </w: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  <w:highlight w:val="yellow"/>
              </w:rPr>
              <w:t>、15种儿童病况、7种次级严重儿童病况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  <w:highlight w:val="yellow"/>
              </w:rPr>
              <w:t>）</w:t>
            </w:r>
          </w:p>
          <w:p w14:paraId="005578B2">
            <w:pPr>
              <w:pStyle w:val="12"/>
              <w:spacing w:line="360" w:lineRule="auto"/>
              <w:ind w:firstLine="0"/>
              <w:jc w:val="left"/>
              <w:rPr>
                <w:rFonts w:hint="eastAsia" w:eastAsia="宋体" w:asciiTheme="minorEastAsia" w:hAnsiTheme="minorEastAsia"/>
                <w:color w:val="000000"/>
                <w:sz w:val="24"/>
                <w:szCs w:val="24"/>
              </w:rPr>
            </w:pPr>
            <w:r>
              <w:rPr>
                <w:rFonts w:eastAsia="宋体" w:asciiTheme="minorEastAsia" w:hAnsiTheme="minorEastAsia"/>
                <w:color w:val="000000"/>
                <w:sz w:val="24"/>
                <w:szCs w:val="24"/>
              </w:rPr>
              <w:t>1. 早期疾病，每次赔付保额的20%-25%，比如保额是{b}</w:t>
            </w:r>
            <w:r>
              <w:rPr>
                <w:rFonts w:hint="eastAsia" w:eastAsia="宋体" w:asciiTheme="minorEastAsia" w:hAnsiTheme="minorEastAsia"/>
                <w:color w:val="000000"/>
                <w:sz w:val="24"/>
                <w:szCs w:val="24"/>
              </w:rPr>
              <w:t>万美金，轻疾理赔</w:t>
            </w:r>
            <w:r>
              <w:rPr>
                <w:rFonts w:eastAsia="宋体" w:asciiTheme="minorEastAsia" w:hAnsiTheme="minorEastAsia"/>
                <w:color w:val="000000"/>
                <w:sz w:val="24"/>
                <w:szCs w:val="24"/>
              </w:rPr>
              <w:t>{b}万*20%，或{b}万*25%={{{b}/5}}万美金或{{{b}/4}}万美金；</w:t>
            </w:r>
          </w:p>
          <w:p w14:paraId="6A03E1E2">
            <w:pPr>
              <w:pStyle w:val="12"/>
              <w:spacing w:line="360" w:lineRule="auto"/>
              <w:ind w:firstLine="0"/>
              <w:jc w:val="left"/>
              <w:rPr>
                <w:rFonts w:hint="eastAsia" w:eastAsia="宋体" w:asciiTheme="minorEastAsia" w:hAnsiTheme="minorEastAsia"/>
                <w:sz w:val="24"/>
                <w:szCs w:val="24"/>
              </w:rPr>
            </w:pPr>
            <w:r>
              <w:rPr>
                <w:rFonts w:eastAsia="宋体" w:asciiTheme="minorEastAsia" w:hAnsiTheme="minorEastAsia"/>
                <w:sz w:val="24"/>
                <w:szCs w:val="24"/>
              </w:rPr>
              <w:t>2. 高达10次大病保障，每次赔付保额的100%，最高可赔付{b}</w:t>
            </w:r>
            <w:r>
              <w:rPr>
                <w:rFonts w:hint="eastAsia" w:eastAsia="宋体" w:asciiTheme="minorEastAsia" w:hAnsiTheme="minorEastAsia"/>
                <w:sz w:val="24"/>
                <w:szCs w:val="24"/>
              </w:rPr>
              <w:t>万美金</w:t>
            </w:r>
            <w:r>
              <w:rPr>
                <w:rFonts w:eastAsia="宋体" w:asciiTheme="minorEastAsia" w:hAnsiTheme="minorEastAsia"/>
                <w:sz w:val="24"/>
                <w:szCs w:val="24"/>
              </w:rPr>
              <w:t>*10次={{{b}*10}}万美金；</w:t>
            </w:r>
          </w:p>
          <w:p w14:paraId="31FD952A">
            <w:pPr>
              <w:pStyle w:val="12"/>
              <w:spacing w:line="360" w:lineRule="auto"/>
              <w:ind w:firstLine="0"/>
              <w:jc w:val="left"/>
              <w:rPr>
                <w:rFonts w:hint="eastAsia" w:eastAsia="宋体" w:asciiTheme="minorEastAsia" w:hAnsiTheme="minorEastAsia"/>
                <w:sz w:val="24"/>
                <w:szCs w:val="24"/>
              </w:rPr>
            </w:pPr>
            <w:r>
              <w:rPr>
                <w:rFonts w:eastAsia="宋体" w:asciiTheme="minorEastAsia" w:hAnsiTheme="minorEastAsia"/>
                <w:sz w:val="24"/>
                <w:szCs w:val="24"/>
              </w:rPr>
              <w:t>3. 理赔重疾后，身故再赔付100%保额={b}</w:t>
            </w:r>
            <w:r>
              <w:rPr>
                <w:rFonts w:hint="eastAsia" w:eastAsia="宋体" w:asciiTheme="minorEastAsia" w:hAnsiTheme="minorEastAsia"/>
                <w:sz w:val="24"/>
                <w:szCs w:val="24"/>
              </w:rPr>
              <w:t>万美金，重疾险</w:t>
            </w:r>
            <w:r>
              <w:rPr>
                <w:rFonts w:eastAsia="宋体" w:asciiTheme="minorEastAsia" w:hAnsiTheme="minorEastAsia"/>
                <w:sz w:val="24"/>
                <w:szCs w:val="24"/>
              </w:rPr>
              <w:t>+人寿险二合一；</w:t>
            </w:r>
          </w:p>
          <w:p w14:paraId="685029FF">
            <w:pPr>
              <w:pStyle w:val="12"/>
              <w:spacing w:line="360" w:lineRule="auto"/>
              <w:ind w:firstLine="0"/>
              <w:jc w:val="left"/>
              <w:rPr>
                <w:rFonts w:hint="eastAsia" w:eastAsia="宋体" w:asciiTheme="minorEastAsia" w:hAnsiTheme="minorEastAsia"/>
                <w:sz w:val="24"/>
                <w:szCs w:val="24"/>
              </w:rPr>
            </w:pPr>
            <w:r>
              <w:rPr>
                <w:rFonts w:eastAsia="宋体" w:asciiTheme="minorEastAsia" w:hAnsiTheme="minorEastAsia"/>
                <w:sz w:val="24"/>
                <w:szCs w:val="24"/>
              </w:rPr>
              <w:t>4. 保费豁免：理赔</w:t>
            </w:r>
            <w:r>
              <w:rPr>
                <w:rFonts w:hint="eastAsia" w:eastAsia="宋体" w:asciiTheme="minorEastAsia" w:hAnsiTheme="minorEastAsia"/>
                <w:sz w:val="24"/>
                <w:szCs w:val="24"/>
              </w:rPr>
              <w:t>重疾之</w:t>
            </w:r>
            <w:r>
              <w:rPr>
                <w:rFonts w:eastAsia="宋体" w:asciiTheme="minorEastAsia" w:hAnsiTheme="minorEastAsia"/>
                <w:sz w:val="24"/>
                <w:szCs w:val="24"/>
              </w:rPr>
              <w:t>后，保费从此不用再交，保障继续。</w:t>
            </w:r>
          </w:p>
          <w:p w14:paraId="66680F40">
            <w:pPr>
              <w:pStyle w:val="12"/>
              <w:spacing w:line="360" w:lineRule="auto"/>
              <w:ind w:firstLine="0"/>
              <w:jc w:val="left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eastAsia="宋体" w:asciiTheme="minorEastAsia" w:hAnsiTheme="minorEastAsia"/>
                <w:sz w:val="24"/>
                <w:szCs w:val="24"/>
              </w:rPr>
              <w:t>5. 亲子保费豁免：</w:t>
            </w:r>
            <w:r>
              <w:rPr>
                <w:rFonts w:eastAsia="宋体" w:asciiTheme="minorEastAsia" w:hAnsiTheme="minorEastAsia"/>
                <w:sz w:val="24"/>
                <w:szCs w:val="24"/>
              </w:rPr>
              <w:t>大人给孩子投保，大人</w:t>
            </w:r>
            <w:r>
              <w:rPr>
                <w:rFonts w:hint="eastAsia" w:eastAsia="宋体" w:asciiTheme="minorEastAsia" w:hAnsiTheme="minorEastAsia"/>
                <w:sz w:val="24"/>
                <w:szCs w:val="24"/>
              </w:rPr>
              <w:t>或配偶</w:t>
            </w:r>
            <w:r>
              <w:rPr>
                <w:rFonts w:eastAsia="宋体" w:asciiTheme="minorEastAsia" w:hAnsiTheme="minorEastAsia"/>
                <w:sz w:val="24"/>
                <w:szCs w:val="24"/>
              </w:rPr>
              <w:t>不幸身故，孩子保费从此豁免</w:t>
            </w:r>
            <w:r>
              <w:rPr>
                <w:rFonts w:hint="eastAsia" w:eastAsia="宋体" w:asciiTheme="minorEastAsia" w:hAnsiTheme="minorEastAsia"/>
                <w:sz w:val="24"/>
                <w:szCs w:val="24"/>
              </w:rPr>
              <w:t>，保障依然有效</w:t>
            </w:r>
            <w:r>
              <w:rPr>
                <w:rFonts w:eastAsia="宋体" w:asciiTheme="minorEastAsia" w:hAnsiTheme="minorEastAsia"/>
                <w:sz w:val="24"/>
                <w:szCs w:val="24"/>
              </w:rPr>
              <w:t>；</w:t>
            </w:r>
          </w:p>
          <w:p w14:paraId="411DEE81">
            <w:pPr>
              <w:pStyle w:val="12"/>
              <w:spacing w:line="360" w:lineRule="auto"/>
              <w:ind w:firstLine="0"/>
              <w:jc w:val="left"/>
              <w:rPr>
                <w:rFonts w:hint="eastAsia" w:eastAsia="宋体" w:asciiTheme="minorEastAsia" w:hAnsiTheme="minorEastAsia"/>
                <w:sz w:val="24"/>
                <w:szCs w:val="24"/>
              </w:rPr>
            </w:pPr>
            <w:r>
              <w:rPr>
                <w:rFonts w:eastAsia="宋体" w:asciiTheme="minorEastAsia" w:hAnsiTheme="minorEastAsia"/>
                <w:sz w:val="24"/>
                <w:szCs w:val="24"/>
              </w:rPr>
              <w:t>6. 帕金森和严重脑退化，每年给付保额6%作为年金。比如保额是{b}</w:t>
            </w:r>
            <w:r>
              <w:rPr>
                <w:rFonts w:hint="eastAsia" w:eastAsia="宋体" w:asciiTheme="minorEastAsia" w:hAnsiTheme="minorEastAsia"/>
                <w:sz w:val="24"/>
                <w:szCs w:val="24"/>
              </w:rPr>
              <w:t>万美金，每年给付</w:t>
            </w:r>
            <w:r>
              <w:rPr>
                <w:rFonts w:eastAsia="宋体" w:asciiTheme="minorEastAsia" w:hAnsiTheme="minorEastAsia"/>
                <w:sz w:val="24"/>
                <w:szCs w:val="24"/>
              </w:rPr>
              <w:t>{{{b}*600}}美金，给付终身；</w:t>
            </w:r>
          </w:p>
        </w:tc>
      </w:tr>
      <w:tr w14:paraId="2EBC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4" w:hRule="atLeast"/>
        </w:trPr>
        <w:tc>
          <w:tcPr>
            <w:tcW w:w="1418" w:type="dxa"/>
          </w:tcPr>
          <w:p w14:paraId="08161CBD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保险配置的建议、</w:t>
            </w:r>
            <w:r>
              <w:rPr>
                <w:rFonts w:ascii="宋体" w:hAnsi="宋体"/>
                <w:b/>
                <w:bCs/>
                <w:color w:val="C9211E"/>
                <w:sz w:val="24"/>
                <w:szCs w:val="24"/>
              </w:rPr>
              <w:t>香港重疾险对比内地保险的优势总结</w:t>
            </w:r>
          </w:p>
        </w:tc>
        <w:tc>
          <w:tcPr>
            <w:tcW w:w="7870" w:type="dxa"/>
          </w:tcPr>
          <w:p w14:paraId="5359343C">
            <w:pPr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PMingLiU"/>
                <w:sz w:val="24"/>
                <w:szCs w:val="24"/>
              </w:rPr>
              <w:t xml:space="preserve">1.  </w:t>
            </w:r>
            <w:r>
              <w:rPr>
                <w:rFonts w:ascii="宋体" w:hAnsi="宋体" w:cs="PMingLiU"/>
                <w:b/>
                <w:bCs/>
                <w:sz w:val="24"/>
                <w:szCs w:val="24"/>
              </w:rPr>
              <w:t>从两地制度监管来说：</w:t>
            </w:r>
            <w:r>
              <w:rPr>
                <w:rFonts w:ascii="宋体" w:hAnsi="宋体" w:cs="PMingLiU"/>
                <w:sz w:val="24"/>
                <w:szCs w:val="24"/>
              </w:rPr>
              <w:t>内地保险是</w:t>
            </w:r>
            <w:r>
              <w:rPr>
                <w:rFonts w:ascii="宋体" w:hAnsi="宋体" w:eastAsia="宋体" w:cs="PMingLiU"/>
                <w:sz w:val="24"/>
                <w:szCs w:val="24"/>
              </w:rPr>
              <w:t>80</w:t>
            </w:r>
            <w:r>
              <w:rPr>
                <w:rFonts w:ascii="宋体" w:hAnsi="宋体" w:cs="PMingLiU"/>
                <w:sz w:val="24"/>
                <w:szCs w:val="24"/>
              </w:rPr>
              <w:t>年代末才发展起来的，在内地金融业板块中，仍然是薄弱落后的行业。而香港作为国际金融中心，保险行业发展成熟，已有</w:t>
            </w:r>
            <w:r>
              <w:rPr>
                <w:rFonts w:ascii="宋体" w:hAnsi="宋体" w:eastAsia="宋体" w:cs="PMingLiU"/>
                <w:sz w:val="24"/>
                <w:szCs w:val="24"/>
              </w:rPr>
              <w:t>100</w:t>
            </w:r>
            <w:r>
              <w:rPr>
                <w:rFonts w:ascii="宋体" w:hAnsi="宋体" w:cs="PMingLiU"/>
                <w:sz w:val="24"/>
                <w:szCs w:val="24"/>
              </w:rPr>
              <w:t>多年的历史，</w:t>
            </w:r>
            <w:r>
              <w:rPr>
                <w:rFonts w:ascii="宋体" w:hAnsi="宋体" w:cs="PMingLiU"/>
                <w:b/>
                <w:bCs/>
                <w:color w:val="C9211E"/>
                <w:sz w:val="24"/>
                <w:szCs w:val="24"/>
              </w:rPr>
              <w:t>保险行业排名世界第一。</w:t>
            </w:r>
            <w:r>
              <w:rPr>
                <w:rFonts w:ascii="宋体" w:hAnsi="宋体" w:cs="PMingLiU"/>
                <w:sz w:val="24"/>
                <w:szCs w:val="24"/>
              </w:rPr>
              <w:t>香港法律体系完善，理赔纠纷少，客户投保更放心。</w:t>
            </w:r>
          </w:p>
          <w:p w14:paraId="2035B6C5">
            <w:pPr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PMingLiU"/>
                <w:sz w:val="24"/>
                <w:szCs w:val="24"/>
              </w:rPr>
              <w:t xml:space="preserve">2. </w:t>
            </w:r>
            <w:r>
              <w:rPr>
                <w:rFonts w:ascii="宋体" w:hAnsi="宋体" w:cs="PMingLiU"/>
                <w:b/>
                <w:bCs/>
                <w:sz w:val="24"/>
                <w:szCs w:val="24"/>
              </w:rPr>
              <w:t>从公司品牌来说：</w:t>
            </w:r>
            <w:r>
              <w:rPr>
                <w:rFonts w:ascii="宋体" w:hAnsi="宋体" w:cs="PMingLiU"/>
                <w:sz w:val="24"/>
                <w:szCs w:val="24"/>
              </w:rPr>
              <w:t>保险是长期储蓄，要</w:t>
            </w:r>
            <w:r>
              <w:rPr>
                <w:rFonts w:ascii="宋体" w:hAnsi="宋体" w:cs="PMingLiU"/>
                <w:b/>
                <w:bCs/>
                <w:color w:val="FF4000"/>
                <w:sz w:val="24"/>
                <w:szCs w:val="24"/>
              </w:rPr>
              <w:t>选择大品牌，公司投资和管理实力强</w:t>
            </w:r>
            <w:r>
              <w:rPr>
                <w:rFonts w:ascii="宋体" w:hAnsi="宋体" w:cs="PMingLiU"/>
                <w:sz w:val="24"/>
                <w:szCs w:val="24"/>
              </w:rPr>
              <w:t>的大公司，经得起风雨、扛得住经济危机，未来几十年后的理赔才有保证。</w:t>
            </w:r>
            <w:r>
              <w:rPr>
                <w:rFonts w:ascii="宋体" w:hAnsi="宋体" w:cs="PMingLiU"/>
                <w:color w:val="000000"/>
                <w:sz w:val="24"/>
                <w:szCs w:val="24"/>
                <w:highlight w:val="yellow"/>
              </w:rPr>
              <w:t>保诚是英国最大的人身险公司，也是英国皇家保险公司，理赔过戴安娜王妃身故案、泰坦尼克号沉没等，已有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17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  <w:lang w:val="en-US" w:eastAsia="zh-CN"/>
              </w:rPr>
              <w:t>8</w:t>
            </w:r>
            <w:r>
              <w:rPr>
                <w:rFonts w:ascii="宋体" w:hAnsi="宋体" w:cs="PMingLiU"/>
                <w:color w:val="000000"/>
                <w:sz w:val="24"/>
                <w:szCs w:val="24"/>
                <w:highlight w:val="yellow"/>
              </w:rPr>
              <w:t>年历史，是著名老牌保险公司。</w:t>
            </w:r>
          </w:p>
          <w:p w14:paraId="47B1564B">
            <w:pPr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color w:val="000000"/>
                <w:sz w:val="24"/>
                <w:szCs w:val="24"/>
              </w:rPr>
              <w:t xml:space="preserve">3. </w:t>
            </w:r>
            <w:r>
              <w:rPr>
                <w:rFonts w:ascii="宋体" w:hAnsi="宋体" w:cs="PMingLiU"/>
                <w:b/>
                <w:bCs/>
                <w:color w:val="000000"/>
                <w:sz w:val="24"/>
                <w:szCs w:val="24"/>
              </w:rPr>
              <w:t>国内保险的保额，不能分红不增长，</w:t>
            </w:r>
            <w:r>
              <w:rPr>
                <w:rFonts w:ascii="宋体" w:hAnsi="宋体" w:cs="PMingLiU"/>
                <w:sz w:val="24"/>
                <w:szCs w:val="24"/>
              </w:rPr>
              <w:t>也就是说，现在投保</w:t>
            </w:r>
            <w:r>
              <w:rPr>
                <w:rFonts w:ascii="宋体" w:hAnsi="宋体" w:eastAsia="宋体"/>
                <w:sz w:val="24"/>
                <w:szCs w:val="24"/>
              </w:rPr>
              <w:t>100</w:t>
            </w:r>
            <w:r>
              <w:rPr>
                <w:rFonts w:ascii="宋体" w:hAnsi="宋体" w:cs="PMingLiU"/>
                <w:sz w:val="24"/>
                <w:szCs w:val="24"/>
              </w:rPr>
              <w:t>万人民币，等到年老时万一要用，还是只能理赔</w:t>
            </w:r>
            <w:r>
              <w:rPr>
                <w:rFonts w:ascii="宋体" w:hAnsi="宋体" w:eastAsia="宋体"/>
                <w:sz w:val="24"/>
                <w:szCs w:val="24"/>
              </w:rPr>
              <w:t>100</w:t>
            </w:r>
            <w:r>
              <w:rPr>
                <w:rFonts w:ascii="宋体" w:hAnsi="宋体" w:cs="PMingLiU"/>
                <w:sz w:val="24"/>
                <w:szCs w:val="24"/>
              </w:rPr>
              <w:t>万，</w:t>
            </w:r>
            <w:r>
              <w:rPr>
                <w:rFonts w:ascii="宋体" w:hAnsi="宋体" w:cs="PMingLiU"/>
                <w:color w:val="CE181E"/>
                <w:sz w:val="24"/>
                <w:szCs w:val="24"/>
              </w:rPr>
              <w:t>远不能抵御通货膨胀</w:t>
            </w:r>
            <w:r>
              <w:rPr>
                <w:rFonts w:ascii="宋体" w:hAnsi="宋体" w:cs="PMingLiU"/>
                <w:sz w:val="24"/>
                <w:szCs w:val="24"/>
              </w:rPr>
              <w:t>（内地的医疗通胀率是</w:t>
            </w:r>
            <w:r>
              <w:rPr>
                <w:rFonts w:ascii="宋体" w:hAnsi="宋体" w:eastAsia="宋体" w:cs="PMingLiU"/>
                <w:sz w:val="24"/>
                <w:szCs w:val="24"/>
              </w:rPr>
              <w:t>9%</w:t>
            </w:r>
            <w:r>
              <w:rPr>
                <w:rFonts w:ascii="宋体" w:hAnsi="宋体" w:cs="PMingLiU"/>
                <w:sz w:val="24"/>
                <w:szCs w:val="24"/>
              </w:rPr>
              <w:t>）。</w:t>
            </w:r>
            <w:r>
              <w:rPr>
                <w:rFonts w:ascii="宋体" w:hAnsi="宋体" w:cs="PMingLiU"/>
                <w:b/>
                <w:bCs/>
                <w:color w:val="FF0000"/>
                <w:sz w:val="24"/>
                <w:szCs w:val="24"/>
              </w:rPr>
              <w:t>香港的保额不断增长，可抗通胀（比如起始保额是</w:t>
            </w:r>
            <w:r>
              <w:rPr>
                <w:rFonts w:ascii="宋体" w:hAnsi="宋体" w:eastAsia="宋体" w:cs="PMingLiU"/>
                <w:b/>
                <w:bCs/>
                <w:color w:val="FF0000"/>
                <w:sz w:val="24"/>
                <w:szCs w:val="24"/>
              </w:rPr>
              <w:t>105</w:t>
            </w:r>
            <w:r>
              <w:rPr>
                <w:rFonts w:ascii="宋体" w:hAnsi="宋体" w:cs="PMingLiU"/>
                <w:b/>
                <w:bCs/>
                <w:color w:val="FF0000"/>
                <w:sz w:val="24"/>
                <w:szCs w:val="24"/>
              </w:rPr>
              <w:t>万，</w:t>
            </w:r>
            <w:r>
              <w:rPr>
                <w:rFonts w:ascii="宋体" w:hAnsi="宋体" w:eastAsia="宋体" w:cs="PMingLiU"/>
                <w:b/>
                <w:bCs/>
                <w:color w:val="FF0000"/>
                <w:sz w:val="24"/>
                <w:szCs w:val="24"/>
              </w:rPr>
              <w:t>86</w:t>
            </w:r>
            <w:r>
              <w:rPr>
                <w:rFonts w:ascii="宋体" w:hAnsi="宋体" w:cs="PMingLiU"/>
                <w:b/>
                <w:bCs/>
                <w:color w:val="FF0000"/>
                <w:sz w:val="24"/>
                <w:szCs w:val="24"/>
              </w:rPr>
              <w:t>岁时可理赔</w:t>
            </w:r>
            <w:r>
              <w:rPr>
                <w:rFonts w:hint="eastAsia" w:ascii="宋体" w:hAnsi="宋体" w:cs="PMingLiU"/>
                <w:b/>
                <w:bCs/>
                <w:color w:val="FF0000"/>
                <w:sz w:val="24"/>
                <w:szCs w:val="24"/>
              </w:rPr>
              <w:t>1400多万</w:t>
            </w:r>
            <w:r>
              <w:rPr>
                <w:rFonts w:ascii="宋体" w:hAnsi="宋体" w:cs="PMingLiU"/>
                <w:b/>
                <w:bCs/>
                <w:color w:val="FF0000"/>
                <w:sz w:val="24"/>
                <w:szCs w:val="24"/>
              </w:rPr>
              <w:t>，保持购买力）。</w:t>
            </w:r>
          </w:p>
          <w:p w14:paraId="794853F5">
            <w:pPr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PMingLiU"/>
                <w:b/>
                <w:bCs/>
                <w:sz w:val="24"/>
                <w:szCs w:val="24"/>
              </w:rPr>
              <w:t xml:space="preserve">4. </w:t>
            </w:r>
            <w:r>
              <w:rPr>
                <w:rFonts w:ascii="宋体" w:hAnsi="宋体" w:cs="PMingLiU"/>
                <w:b/>
                <w:bCs/>
                <w:color w:val="000000"/>
                <w:sz w:val="24"/>
                <w:szCs w:val="24"/>
              </w:rPr>
              <w:t>货币选择：</w:t>
            </w:r>
            <w:r>
              <w:rPr>
                <w:rFonts w:ascii="宋体" w:hAnsi="宋体" w:cs="PMingLiU"/>
                <w:color w:val="000000"/>
                <w:sz w:val="24"/>
                <w:szCs w:val="24"/>
              </w:rPr>
              <w:t>香</w:t>
            </w:r>
            <w:r>
              <w:rPr>
                <w:rFonts w:ascii="宋体" w:hAnsi="宋体" w:cs="PMingLiU"/>
                <w:sz w:val="24"/>
                <w:szCs w:val="24"/>
              </w:rPr>
              <w:t>港保险是</w:t>
            </w:r>
            <w:r>
              <w:rPr>
                <w:rFonts w:ascii="宋体" w:hAnsi="宋体" w:cs="PMingLiU"/>
                <w:sz w:val="24"/>
                <w:szCs w:val="24"/>
                <w:highlight w:val="yellow"/>
              </w:rPr>
              <w:t>美金计价。</w:t>
            </w:r>
            <w:r>
              <w:rPr>
                <w:rFonts w:ascii="宋体" w:hAnsi="宋体" w:cs="PMingLiU"/>
                <w:sz w:val="24"/>
                <w:szCs w:val="24"/>
              </w:rPr>
              <w:t>两种货币的购买力，</w:t>
            </w:r>
            <w:r>
              <w:rPr>
                <w:rFonts w:ascii="宋体" w:hAnsi="宋体" w:cs="PMingLiU"/>
                <w:color w:val="CE181E"/>
                <w:sz w:val="24"/>
                <w:szCs w:val="24"/>
              </w:rPr>
              <w:t>美金更保值：</w:t>
            </w:r>
            <w:r>
              <w:rPr>
                <w:rFonts w:ascii="宋体" w:hAnsi="宋体" w:cs="PMingLiU"/>
                <w:sz w:val="24"/>
                <w:szCs w:val="24"/>
              </w:rPr>
              <w:t>人民币每年贬值幅度为</w:t>
            </w:r>
            <w:r>
              <w:rPr>
                <w:rFonts w:ascii="宋体" w:hAnsi="宋体" w:eastAsia="宋体"/>
                <w:sz w:val="24"/>
                <w:szCs w:val="24"/>
                <w:highlight w:val="yellow"/>
              </w:rPr>
              <w:t>7</w:t>
            </w:r>
            <w:r>
              <w:rPr>
                <w:rFonts w:ascii="宋体" w:hAnsi="宋体" w:eastAsia="宋体" w:cs="PMingLiU"/>
                <w:sz w:val="24"/>
                <w:szCs w:val="24"/>
                <w:highlight w:val="yellow"/>
              </w:rPr>
              <w:t>%</w:t>
            </w:r>
            <w:r>
              <w:rPr>
                <w:rFonts w:ascii="宋体" w:hAnsi="宋体" w:eastAsia="宋体" w:cs="PMingLiU"/>
                <w:sz w:val="24"/>
                <w:szCs w:val="24"/>
              </w:rPr>
              <w:t xml:space="preserve">  vs </w:t>
            </w:r>
            <w:r>
              <w:rPr>
                <w:rFonts w:ascii="宋体" w:hAnsi="宋体" w:cs="PMingLiU"/>
                <w:sz w:val="24"/>
                <w:szCs w:val="24"/>
              </w:rPr>
              <w:t>美金每年贬值幅度为</w:t>
            </w:r>
            <w:r>
              <w:rPr>
                <w:rFonts w:ascii="宋体" w:hAnsi="宋体" w:eastAsia="宋体"/>
                <w:sz w:val="24"/>
                <w:szCs w:val="24"/>
                <w:highlight w:val="yellow"/>
              </w:rPr>
              <w:t>2</w:t>
            </w:r>
            <w:r>
              <w:rPr>
                <w:rFonts w:ascii="宋体" w:hAnsi="宋体" w:eastAsia="宋体" w:cs="PMingLiU"/>
                <w:sz w:val="24"/>
                <w:szCs w:val="24"/>
                <w:highlight w:val="yellow"/>
              </w:rPr>
              <w:t>%</w:t>
            </w:r>
          </w:p>
          <w:p w14:paraId="66C9E09A">
            <w:pPr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PMingLiU"/>
                <w:b/>
                <w:bCs/>
                <w:color w:val="000000"/>
                <w:sz w:val="24"/>
                <w:szCs w:val="24"/>
              </w:rPr>
              <w:t xml:space="preserve">5. </w:t>
            </w:r>
            <w:r>
              <w:rPr>
                <w:rFonts w:ascii="宋体" w:hAnsi="宋体" w:cs="PMingLiU"/>
                <w:b/>
                <w:bCs/>
                <w:color w:val="000000"/>
                <w:sz w:val="24"/>
                <w:szCs w:val="24"/>
              </w:rPr>
              <w:t>国内保险理赔定义比香港苛刻，不保事项更多：先天性疾病、</w:t>
            </w:r>
            <w:r>
              <w:rPr>
                <w:rFonts w:ascii="宋体" w:hAnsi="宋体" w:cs="PMingLiU"/>
                <w:sz w:val="24"/>
                <w:szCs w:val="24"/>
              </w:rPr>
              <w:t>犯罪、核爆炸、酒后驾驶发生重疾，都不能赔。比如，肾透析要超过</w:t>
            </w:r>
            <w:r>
              <w:rPr>
                <w:rFonts w:ascii="宋体" w:hAnsi="宋体" w:eastAsia="宋体" w:cs="PMingLiU"/>
                <w:sz w:val="24"/>
                <w:szCs w:val="24"/>
              </w:rPr>
              <w:t>90</w:t>
            </w:r>
            <w:r>
              <w:rPr>
                <w:rFonts w:ascii="宋体" w:hAnsi="宋体" w:cs="PMingLiU"/>
                <w:sz w:val="24"/>
                <w:szCs w:val="24"/>
              </w:rPr>
              <w:t>天才可以理赔。</w:t>
            </w:r>
            <w:r>
              <w:rPr>
                <w:rFonts w:ascii="宋体" w:hAnsi="宋体" w:cs="PMingLiU"/>
                <w:color w:val="000000"/>
                <w:sz w:val="24"/>
                <w:szCs w:val="24"/>
              </w:rPr>
              <w:t>而香港没有时间要求，</w:t>
            </w:r>
            <w:r>
              <w:rPr>
                <w:rFonts w:ascii="宋体" w:hAnsi="宋体" w:cs="PMingLiU"/>
                <w:b/>
                <w:bCs/>
                <w:color w:val="FF0000"/>
                <w:sz w:val="24"/>
                <w:szCs w:val="24"/>
              </w:rPr>
              <w:t>理赔更人性化。</w:t>
            </w:r>
          </w:p>
          <w:p w14:paraId="69BA64DC">
            <w:pPr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PMingLiU"/>
                <w:b/>
                <w:bCs/>
                <w:color w:val="000000"/>
                <w:sz w:val="24"/>
                <w:szCs w:val="24"/>
              </w:rPr>
              <w:t xml:space="preserve">6. </w:t>
            </w:r>
            <w:r>
              <w:rPr>
                <w:rFonts w:ascii="宋体" w:hAnsi="宋体" w:cs="PMingLiU"/>
                <w:b/>
                <w:bCs/>
                <w:color w:val="000000"/>
                <w:sz w:val="24"/>
                <w:szCs w:val="24"/>
              </w:rPr>
              <w:t>香港保险是全球理赔，保障范围广。</w:t>
            </w:r>
            <w:r>
              <w:rPr>
                <w:rFonts w:ascii="宋体" w:hAnsi="宋体" w:cs="PMingLiU"/>
                <w:color w:val="000000"/>
                <w:sz w:val="24"/>
                <w:szCs w:val="24"/>
              </w:rPr>
              <w:t>尤其现在大家经常出国旅游，孩子很可能要出国留学，有一份全球保障的保险更安心。内地的保险，只能在国内公立医院理赔，使用范围窄。</w:t>
            </w:r>
          </w:p>
        </w:tc>
      </w:tr>
      <w:tr w14:paraId="129C1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4" w:hRule="atLeast"/>
        </w:trPr>
        <w:tc>
          <w:tcPr>
            <w:tcW w:w="1418" w:type="dxa"/>
          </w:tcPr>
          <w:p w14:paraId="07376B05">
            <w:pPr>
              <w:spacing w:line="360" w:lineRule="auto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投保证件</w:t>
            </w:r>
          </w:p>
        </w:tc>
        <w:tc>
          <w:tcPr>
            <w:tcW w:w="7870" w:type="dxa"/>
          </w:tcPr>
          <w:p w14:paraId="741146FA">
            <w:pPr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1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.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大人的</w:t>
            </w:r>
            <w:r>
              <w:rPr>
                <w:rFonts w:ascii="宋体" w:hAnsi="宋体" w:cs="PMingLiU"/>
                <w:color w:val="000000"/>
                <w:sz w:val="24"/>
                <w:szCs w:val="24"/>
                <w:highlight w:val="yellow"/>
              </w:rPr>
              <w:t>内地身份证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+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大人的</w:t>
            </w:r>
            <w:r>
              <w:rPr>
                <w:rFonts w:ascii="宋体" w:hAnsi="宋体" w:cs="PMingLiU"/>
                <w:color w:val="000000"/>
                <w:sz w:val="24"/>
                <w:szCs w:val="24"/>
                <w:highlight w:val="yellow"/>
              </w:rPr>
              <w:t>港澳通行证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+</w:t>
            </w:r>
            <w:r>
              <w:rPr>
                <w:rFonts w:ascii="宋体" w:hAnsi="宋体" w:cs="PMingLiU"/>
                <w:color w:val="000000"/>
                <w:sz w:val="24"/>
                <w:szCs w:val="24"/>
                <w:highlight w:val="yellow"/>
              </w:rPr>
              <w:t>孩子的出生证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+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大人的</w:t>
            </w:r>
            <w:r>
              <w:rPr>
                <w:rFonts w:ascii="宋体" w:hAnsi="宋体" w:cs="PMingLiU"/>
                <w:color w:val="000000"/>
                <w:sz w:val="24"/>
                <w:szCs w:val="24"/>
                <w:highlight w:val="yellow"/>
              </w:rPr>
              <w:t>入境小票</w:t>
            </w:r>
            <w:r>
              <w:rPr>
                <w:rFonts w:hint="eastAsia" w:ascii="宋体" w:hAnsi="宋体" w:cs="PMingLiU"/>
                <w:color w:val="000000"/>
                <w:sz w:val="24"/>
                <w:szCs w:val="24"/>
                <w:highlight w:val="yellow"/>
              </w:rPr>
              <w:t>（小孩子不用来香港）</w:t>
            </w:r>
          </w:p>
          <w:p w14:paraId="55DCCC72">
            <w:pPr>
              <w:spacing w:line="276" w:lineRule="auto"/>
              <w:jc w:val="left"/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2.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第一年的保费，可以刷visa或者master信用卡，也可以交港币或者美元现金。投保后，我带您开好香港银行卡，后续可以购汇打到自己的香港卡上，每年交续保保费。</w:t>
            </w:r>
          </w:p>
        </w:tc>
      </w:tr>
    </w:tbl>
    <w:p w14:paraId="62685613">
      <w:bookmarkStart w:id="0" w:name="_GoBack"/>
      <w:bookmarkEnd w:id="0"/>
    </w:p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57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Liberation San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PMingLiU">
    <w:altName w:val="Perpetua Titling MT"/>
    <w:panose1 w:val="020205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erpetua Titling MT">
    <w:panose1 w:val="02020502060505020804"/>
    <w:charset w:val="00"/>
    <w:family w:val="auto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RkZDhkYTIxYmI4NDE2NjFlN2YzMjUzMTVlMjg3ZDgifQ=="/>
  </w:docVars>
  <w:rsids>
    <w:rsidRoot w:val="00C94530"/>
    <w:rsid w:val="00071B09"/>
    <w:rsid w:val="000D6329"/>
    <w:rsid w:val="000E4ABB"/>
    <w:rsid w:val="0018539A"/>
    <w:rsid w:val="002613E3"/>
    <w:rsid w:val="002E2535"/>
    <w:rsid w:val="002E62A7"/>
    <w:rsid w:val="00346256"/>
    <w:rsid w:val="003B6DB1"/>
    <w:rsid w:val="0076227C"/>
    <w:rsid w:val="0077727B"/>
    <w:rsid w:val="007C5E81"/>
    <w:rsid w:val="007C764E"/>
    <w:rsid w:val="007D4FF9"/>
    <w:rsid w:val="008306A2"/>
    <w:rsid w:val="0098460A"/>
    <w:rsid w:val="00995D48"/>
    <w:rsid w:val="009D00ED"/>
    <w:rsid w:val="00A31D2B"/>
    <w:rsid w:val="00A622AB"/>
    <w:rsid w:val="00A6518E"/>
    <w:rsid w:val="00A9618A"/>
    <w:rsid w:val="00C94530"/>
    <w:rsid w:val="00C97D8F"/>
    <w:rsid w:val="00D01D16"/>
    <w:rsid w:val="00D4476D"/>
    <w:rsid w:val="00D45B9D"/>
    <w:rsid w:val="00D5139B"/>
    <w:rsid w:val="00D849C5"/>
    <w:rsid w:val="00D87BFA"/>
    <w:rsid w:val="00DB092E"/>
    <w:rsid w:val="00DC4DB5"/>
    <w:rsid w:val="00FA0316"/>
    <w:rsid w:val="00FB4CF0"/>
    <w:rsid w:val="00FD4543"/>
    <w:rsid w:val="031C4D4E"/>
    <w:rsid w:val="11995E0C"/>
    <w:rsid w:val="21A339F2"/>
    <w:rsid w:val="2CEC2664"/>
    <w:rsid w:val="31251E79"/>
    <w:rsid w:val="41DD13BD"/>
    <w:rsid w:val="6FE040A9"/>
    <w:rsid w:val="7B34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3">
    <w:name w:val="Body Text"/>
    <w:basedOn w:val="1"/>
    <w:uiPriority w:val="0"/>
    <w:pPr>
      <w:spacing w:after="140" w:line="276" w:lineRule="auto"/>
    </w:p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  <w:rPr>
      <w:rFonts w:cs="Lucida Sans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JhengHei" w:cs="Lucida Sans"/>
      <w:sz w:val="28"/>
      <w:szCs w:val="28"/>
    </w:rPr>
  </w:style>
  <w:style w:type="paragraph" w:customStyle="1" w:styleId="11">
    <w:name w:val="索引"/>
    <w:basedOn w:val="1"/>
    <w:qFormat/>
    <w:uiPriority w:val="0"/>
    <w:pPr>
      <w:suppressLineNumbers/>
    </w:pPr>
    <w:rPr>
      <w:rFonts w:cs="Lucida Sans"/>
    </w:rPr>
  </w:style>
  <w:style w:type="paragraph" w:styleId="12">
    <w:name w:val="List Paragraph"/>
    <w:basedOn w:val="1"/>
    <w:qFormat/>
    <w:uiPriority w:val="34"/>
    <w:pPr>
      <w:ind w:firstLine="420"/>
    </w:pPr>
  </w:style>
  <w:style w:type="character" w:customStyle="1" w:styleId="13">
    <w:name w:val="页眉 字符"/>
    <w:basedOn w:val="9"/>
    <w:link w:val="5"/>
    <w:qFormat/>
    <w:uiPriority w:val="99"/>
    <w:rPr>
      <w:kern w:val="2"/>
      <w:sz w:val="18"/>
      <w:szCs w:val="18"/>
    </w:rPr>
  </w:style>
  <w:style w:type="character" w:customStyle="1" w:styleId="14">
    <w:name w:val="页脚 字符"/>
    <w:basedOn w:val="9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1333</Words>
  <Characters>1762</Characters>
  <Lines>13</Lines>
  <Paragraphs>3</Paragraphs>
  <TotalTime>8</TotalTime>
  <ScaleCrop>false</ScaleCrop>
  <LinksUpToDate>false</LinksUpToDate>
  <CharactersWithSpaces>1779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2024-06-25T03:35:00Z</dcterms:created>
  <dc:creator>XU Minjun</dc:creator>
  <cp:lastModifiedBy>刘阳</cp:lastModifiedBy>
  <cp:lastPrinted>2023-07-05T06:14:00Z</cp:lastPrinted>
  <dcterms:modified xsi:type="dcterms:W3CDTF">2026-01-12T02:27:36Z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2052-12.1.0.24031</vt:lpwstr>
  </property>
  <property fmtid="{D5CDD505-2E9C-101B-9397-08002B2CF9AE}" pid="10" name="ICV">
    <vt:lpwstr>39ECF6F9AA934568AF8D7346D168A8B2_12</vt:lpwstr>
  </property>
  <property fmtid="{D5CDD505-2E9C-101B-9397-08002B2CF9AE}" pid="11" name="KSOTemplateDocerSaveRecord">
    <vt:lpwstr>eyJoZGlkIjoiNjc5NDFmYjllYzExZjg0MGNkNDM2M2Q1ZDQ1MzNiNDgiLCJ1c2VySWQiOiIxMDA4MDYxODE0In0=</vt:lpwstr>
  </property>
</Properties>
</file>