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10632" w:type="dxa"/>
        <w:tblInd w:w="-1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4394"/>
        <w:gridCol w:w="4678"/>
      </w:tblGrid>
      <w:tr w14:paraId="37444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1560" w:type="dxa"/>
            <w:shd w:val="clear" w:color="auto" w:fill="auto"/>
          </w:tcPr>
          <w:p w14:paraId="11024666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计划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名称</w:t>
            </w:r>
          </w:p>
        </w:tc>
        <w:tc>
          <w:tcPr>
            <w:tcW w:w="9072" w:type="dxa"/>
            <w:gridSpan w:val="2"/>
            <w:shd w:val="clear" w:color="auto" w:fill="auto"/>
          </w:tcPr>
          <w:p w14:paraId="58469EED">
            <w:pPr>
              <w:spacing w:line="276" w:lineRule="auto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ascii="宋体" w:hAnsi="宋体" w:eastAsia="宋体"/>
                <w:b/>
                <w:bCs/>
                <w:sz w:val="28"/>
                <w:szCs w:val="28"/>
              </w:rPr>
              <w:t>基础款 单次保全家方案——</w:t>
            </w:r>
            <w:r>
              <w:rPr>
                <w:rFonts w:ascii="宋体" w:hAnsi="宋体" w:eastAsia="宋体"/>
                <w:b/>
                <w:bCs/>
                <w:color w:val="FF0000"/>
                <w:sz w:val="28"/>
                <w:szCs w:val="28"/>
              </w:rPr>
              <w:t>3次轻疾+1次大病/身故理赔</w:t>
            </w:r>
          </w:p>
          <w:p w14:paraId="730A39E2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sz w:val="28"/>
                <w:szCs w:val="28"/>
              </w:rPr>
            </w:pPr>
            <w:r>
              <w:rPr>
                <w:rFonts w:hint="eastAsia" w:ascii="Times New Roman" w:hAnsi="Times New Roman" w:eastAsia="宋体"/>
                <w:b/>
                <w:sz w:val="28"/>
                <w:szCs w:val="28"/>
                <w:highlight w:val="yellow"/>
              </w:rPr>
              <w:t>初始保额为</w:t>
            </w:r>
            <w:r>
              <w:rPr>
                <w:rFonts w:ascii="Times New Roman" w:hAnsi="Times New Roman" w:eastAsia="宋体"/>
                <w:b/>
                <w:sz w:val="28"/>
                <w:szCs w:val="28"/>
                <w:highlight w:val="yellow"/>
              </w:rPr>
              <w:t>{b}</w:t>
            </w:r>
            <w:r>
              <w:rPr>
                <w:rFonts w:hint="eastAsia" w:ascii="Times New Roman" w:hAnsi="Times New Roman" w:eastAsia="宋体"/>
                <w:b/>
                <w:sz w:val="28"/>
                <w:szCs w:val="28"/>
                <w:highlight w:val="yellow"/>
              </w:rPr>
              <w:t>万美金（约{{{b}*7}}万人民币）</w:t>
            </w:r>
          </w:p>
        </w:tc>
      </w:tr>
      <w:tr w14:paraId="1979C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1560" w:type="dxa"/>
            <w:shd w:val="clear" w:color="auto" w:fill="auto"/>
          </w:tcPr>
          <w:p w14:paraId="5218F8C1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家庭成员</w:t>
            </w:r>
          </w:p>
        </w:tc>
        <w:tc>
          <w:tcPr>
            <w:tcW w:w="4394" w:type="dxa"/>
            <w:shd w:val="clear" w:color="auto" w:fill="auto"/>
          </w:tcPr>
          <w:p w14:paraId="4695631B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先生</w:t>
            </w:r>
          </w:p>
          <w:p w14:paraId="230BDF14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{a}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 xml:space="preserve">岁 不吸烟） </w:t>
            </w:r>
          </w:p>
        </w:tc>
        <w:tc>
          <w:tcPr>
            <w:tcW w:w="4678" w:type="dxa"/>
          </w:tcPr>
          <w:p w14:paraId="096F1C86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太太</w:t>
            </w:r>
          </w:p>
          <w:p w14:paraId="5551931D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{a1}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 xml:space="preserve">岁 不吸烟） </w:t>
            </w:r>
          </w:p>
        </w:tc>
      </w:tr>
      <w:tr w14:paraId="7F3E4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shd w:val="clear" w:color="auto" w:fill="auto"/>
          </w:tcPr>
          <w:p w14:paraId="702F29CF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供款期</w:t>
            </w:r>
          </w:p>
        </w:tc>
        <w:tc>
          <w:tcPr>
            <w:tcW w:w="9072" w:type="dxa"/>
            <w:gridSpan w:val="2"/>
            <w:shd w:val="clear" w:color="auto" w:fill="auto"/>
          </w:tcPr>
          <w:p w14:paraId="64EEC04A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{c}</w:t>
            </w:r>
            <w:r>
              <w:rPr>
                <w:rFonts w:hint="eastAsia" w:ascii="Times New Roman" w:hAnsi="Times New Roman" w:eastAsia="宋体"/>
                <w:sz w:val="24"/>
                <w:szCs w:val="24"/>
                <w:highlight w:val="white"/>
              </w:rPr>
              <w:t>年</w:t>
            </w:r>
          </w:p>
        </w:tc>
      </w:tr>
      <w:tr w14:paraId="4A0EF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shd w:val="clear" w:color="auto" w:fill="auto"/>
          </w:tcPr>
          <w:p w14:paraId="6919AA25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每人每年</w:t>
            </w:r>
          </w:p>
          <w:p w14:paraId="21CB1834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保费储蓄</w:t>
            </w:r>
          </w:p>
        </w:tc>
        <w:tc>
          <w:tcPr>
            <w:tcW w:w="4394" w:type="dxa"/>
            <w:shd w:val="clear" w:color="auto" w:fill="auto"/>
          </w:tcPr>
          <w:p w14:paraId="10D8744A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{{{d}*1}}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076C5085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{{{d}*7/10000}}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</w:tc>
        <w:tc>
          <w:tcPr>
            <w:tcW w:w="4678" w:type="dxa"/>
          </w:tcPr>
          <w:p w14:paraId="326D97DF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{{{d1}*1}}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6159B8AF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{{{d1}*7/10000}}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</w:tc>
      </w:tr>
      <w:tr w14:paraId="7B6C7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shd w:val="clear" w:color="auto" w:fill="auto"/>
          </w:tcPr>
          <w:p w14:paraId="6DA5113B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全家</w:t>
            </w:r>
          </w:p>
          <w:p w14:paraId="43B0AD55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总保费</w:t>
            </w:r>
          </w:p>
        </w:tc>
        <w:tc>
          <w:tcPr>
            <w:tcW w:w="9072" w:type="dxa"/>
            <w:gridSpan w:val="2"/>
            <w:shd w:val="clear" w:color="auto" w:fill="auto"/>
          </w:tcPr>
          <w:p w14:paraId="3A22614F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eastAsia="宋体"/>
                <w:sz w:val="24"/>
                <w:szCs w:val="24"/>
                <w:highlight w:val="yellow"/>
              </w:rPr>
              <w:t>{{{d}*1+{d1}*1}}</w:t>
            </w:r>
            <w:r>
              <w:rPr>
                <w:rFonts w:hint="eastAsia" w:ascii="Times New Roman" w:hAnsi="Times New Roman" w:eastAsia="宋体"/>
                <w:sz w:val="24"/>
                <w:szCs w:val="24"/>
                <w:highlight w:val="yellow"/>
              </w:rPr>
              <w:t>美金</w:t>
            </w:r>
          </w:p>
          <w:p w14:paraId="664B8CFB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  <w:highlight w:val="yellow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highlight w:val="yellow"/>
              </w:rPr>
              <w:t>（约</w:t>
            </w:r>
            <w:r>
              <w:rPr>
                <w:rFonts w:ascii="Times New Roman" w:hAnsi="Times New Roman" w:eastAsia="宋体"/>
                <w:sz w:val="24"/>
                <w:szCs w:val="24"/>
                <w:highlight w:val="yellow"/>
              </w:rPr>
              <w:t>{{{d}*7+{d1}*7}}</w:t>
            </w:r>
            <w:r>
              <w:rPr>
                <w:rFonts w:hint="eastAsia" w:ascii="Times New Roman" w:hAnsi="Times New Roman" w:eastAsia="宋体"/>
                <w:sz w:val="24"/>
                <w:szCs w:val="24"/>
                <w:highlight w:val="yellow"/>
              </w:rPr>
              <w:t>人民币）</w:t>
            </w:r>
          </w:p>
        </w:tc>
      </w:tr>
      <w:tr w14:paraId="1FA68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</w:trPr>
        <w:tc>
          <w:tcPr>
            <w:tcW w:w="1560" w:type="dxa"/>
            <w:shd w:val="clear" w:color="auto" w:fill="auto"/>
          </w:tcPr>
          <w:p w14:paraId="57975C25">
            <w:pPr>
              <w:spacing w:line="276" w:lineRule="auto"/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{c}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年保费</w:t>
            </w:r>
          </w:p>
          <w:p w14:paraId="096895E8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总储蓄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6215A961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{{{d}*{c}}}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4A0AE957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{{{d}*{c}*7/10000}}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</w:tc>
        <w:tc>
          <w:tcPr>
            <w:tcW w:w="4678" w:type="dxa"/>
            <w:vAlign w:val="center"/>
          </w:tcPr>
          <w:p w14:paraId="49046EB2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{{{d1}*{c1}}}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5D5AD208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{{{d1}*{c1}*7/10000}}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</w:tc>
      </w:tr>
      <w:tr w14:paraId="2EC23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5" w:hRule="atLeast"/>
        </w:trPr>
        <w:tc>
          <w:tcPr>
            <w:tcW w:w="1560" w:type="dxa"/>
            <w:shd w:val="clear" w:color="auto" w:fill="auto"/>
          </w:tcPr>
          <w:p w14:paraId="527CD2B5">
            <w:pPr>
              <w:spacing w:line="276" w:lineRule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不同年纪的保额：</w:t>
            </w:r>
            <w:r>
              <w:rPr>
                <w:rFonts w:ascii="宋体" w:hAnsi="宋体" w:eastAsia="宋体"/>
                <w:sz w:val="24"/>
                <w:szCs w:val="24"/>
                <w:highlight w:val="yellow"/>
              </w:rPr>
              <w:t>年纪越大，赔付越多</w:t>
            </w:r>
          </w:p>
        </w:tc>
        <w:tc>
          <w:tcPr>
            <w:tcW w:w="4394" w:type="dxa"/>
            <w:shd w:val="clear" w:color="auto" w:fill="auto"/>
          </w:tcPr>
          <w:p w14:paraId="13910242">
            <w:pPr>
              <w:spacing w:line="276" w:lineRule="auto"/>
              <w:jc w:val="center"/>
              <w:rPr>
                <w:rFonts w:ascii="Times New Roman" w:hAnsi="Times New Roman" w:eastAsia="宋体"/>
                <w:color w:val="00B0F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投保前10年，送50%保额（</w:t>
            </w:r>
            <w:r>
              <w:rPr>
                <w:rFonts w:ascii="Times New Roman" w:hAnsi="Times New Roman" w:eastAsia="宋体"/>
                <w:color w:val="00B0F0"/>
                <w:sz w:val="24"/>
                <w:szCs w:val="24"/>
              </w:rPr>
              <w:t>{a}</w:t>
            </w: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-{{{a}+10}}岁）</w:t>
            </w:r>
          </w:p>
          <w:p w14:paraId="6E4C0C8E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{b}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万美金+{{{b}/2}}万额外送={{1.5*{b}}}万美金</w:t>
            </w:r>
          </w:p>
          <w:p w14:paraId="5A288433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highlight w:val="yellow"/>
              </w:rPr>
              <w:t>（{{10.5*{b}}}万人民币）</w:t>
            </w:r>
          </w:p>
          <w:p w14:paraId="1FF8E13D">
            <w:pPr>
              <w:spacing w:line="276" w:lineRule="auto"/>
              <w:rPr>
                <w:rFonts w:ascii="Times New Roman" w:hAnsi="Times New Roman"/>
                <w:color w:val="00B0F0"/>
                <w:sz w:val="24"/>
                <w:szCs w:val="24"/>
              </w:rPr>
            </w:pPr>
          </w:p>
          <w:p w14:paraId="29E5B023">
            <w:pPr>
              <w:spacing w:line="276" w:lineRule="auto"/>
              <w:jc w:val="center"/>
              <w:rPr>
                <w:rFonts w:ascii="Times New Roman" w:hAnsi="Times New Roman" w:eastAsia="宋体"/>
                <w:color w:val="111111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66岁：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{{{e}*1}}</w:t>
            </w:r>
            <w:r>
              <w:rPr>
                <w:rFonts w:hint="eastAsia" w:ascii="Times New Roman" w:hAnsi="Times New Roman" w:eastAsia="宋体"/>
                <w:color w:val="111111"/>
                <w:sz w:val="24"/>
                <w:szCs w:val="24"/>
              </w:rPr>
              <w:t>美金</w:t>
            </w:r>
          </w:p>
          <w:p w14:paraId="6BA2F36C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{{{e}*7/10000}}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656165BA">
            <w:pPr>
              <w:spacing w:line="276" w:lineRule="auto"/>
              <w:jc w:val="center"/>
              <w:rPr>
                <w:rFonts w:ascii="Times New Roman" w:hAnsi="Times New Roman" w:eastAsia="宋体"/>
                <w:color w:val="11111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PMingLiU"/>
                <w:color w:val="00B0F0"/>
                <w:sz w:val="24"/>
                <w:szCs w:val="24"/>
              </w:rPr>
              <w:t>76岁：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{{{f}*1}}</w:t>
            </w:r>
            <w:r>
              <w:rPr>
                <w:rFonts w:hint="eastAsia" w:ascii="Times New Roman" w:hAnsi="Times New Roman" w:eastAsia="宋体"/>
                <w:color w:val="111111"/>
                <w:sz w:val="24"/>
                <w:szCs w:val="24"/>
              </w:rPr>
              <w:t>美金</w:t>
            </w:r>
          </w:p>
          <w:p w14:paraId="64887532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{{{f}*7/10000}}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6204FD31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86岁：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{{{g}*1}}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74722E91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{{{g}*7/10000}}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5B7174D9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96岁：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{{{h}*1}}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3AFFABDD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{{{h}*7/10000}}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6C7E96EB">
            <w:pPr>
              <w:spacing w:line="276" w:lineRule="auto"/>
              <w:rPr>
                <w:rFonts w:ascii="Times New Roman" w:hAnsi="Times New Roman" w:eastAsia="宋体"/>
                <w:sz w:val="24"/>
                <w:szCs w:val="24"/>
              </w:rPr>
            </w:pPr>
          </w:p>
          <w:p w14:paraId="4F70A04B">
            <w:pPr>
              <w:spacing w:line="276" w:lineRule="auto"/>
              <w:rPr>
                <w:rFonts w:ascii="Times New Roman" w:hAnsi="Times New Roman" w:eastAsia="宋体"/>
                <w:color w:val="FF000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4"/>
              </w:rPr>
              <w:t>没有发生重疾，自然身故也赔付。例如在96岁自然身故，就有</w:t>
            </w:r>
            <w:r>
              <w:rPr>
                <w:rFonts w:ascii="Times New Roman" w:hAnsi="Times New Roman" w:eastAsia="宋体"/>
                <w:color w:val="FF0000"/>
                <w:sz w:val="24"/>
                <w:szCs w:val="24"/>
              </w:rPr>
              <w:t>{{{h}/10000}}</w:t>
            </w:r>
            <w:r>
              <w:rPr>
                <w:rFonts w:hint="eastAsia" w:ascii="Times New Roman" w:hAnsi="Times New Roman" w:eastAsia="宋体"/>
                <w:color w:val="FF0000"/>
                <w:sz w:val="24"/>
                <w:szCs w:val="24"/>
              </w:rPr>
              <w:t>万美元（{{{h}*7/10000}}万人民币）作为身故遗产，免税传承给后代。</w:t>
            </w:r>
          </w:p>
        </w:tc>
        <w:tc>
          <w:tcPr>
            <w:tcW w:w="4678" w:type="dxa"/>
          </w:tcPr>
          <w:p w14:paraId="0260AEEB">
            <w:pPr>
              <w:spacing w:line="276" w:lineRule="auto"/>
              <w:jc w:val="center"/>
              <w:rPr>
                <w:rFonts w:ascii="Times New Roman" w:hAnsi="Times New Roman" w:eastAsia="宋体"/>
                <w:color w:val="00B0F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投保前10年，送50%保额（</w:t>
            </w:r>
            <w:r>
              <w:rPr>
                <w:rFonts w:ascii="Times New Roman" w:hAnsi="Times New Roman" w:eastAsia="宋体"/>
                <w:color w:val="00B0F0"/>
                <w:sz w:val="24"/>
                <w:szCs w:val="24"/>
              </w:rPr>
              <w:t>{a1}</w:t>
            </w: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-{{{a1}+10}}岁）</w:t>
            </w:r>
          </w:p>
          <w:p w14:paraId="3BEB42F4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{b1}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万美金+{{{b1}/2}}万额外送={{1.5*{b1}}}万美金</w:t>
            </w:r>
          </w:p>
          <w:p w14:paraId="174BDCC3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highlight w:val="yellow"/>
              </w:rPr>
              <w:t>（{{10.5*{b1}}}万人民币）</w:t>
            </w:r>
          </w:p>
          <w:p w14:paraId="289337CD">
            <w:pPr>
              <w:spacing w:line="276" w:lineRule="auto"/>
              <w:rPr>
                <w:rFonts w:ascii="Times New Roman" w:hAnsi="Times New Roman"/>
                <w:color w:val="00B0F0"/>
                <w:sz w:val="24"/>
                <w:szCs w:val="24"/>
              </w:rPr>
            </w:pPr>
          </w:p>
          <w:p w14:paraId="32D0805A">
            <w:pPr>
              <w:spacing w:line="276" w:lineRule="auto"/>
              <w:jc w:val="center"/>
              <w:rPr>
                <w:rFonts w:ascii="Times New Roman" w:hAnsi="Times New Roman" w:eastAsia="宋体"/>
                <w:color w:val="111111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66岁：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{{{e1}*1}}</w:t>
            </w:r>
            <w:r>
              <w:rPr>
                <w:rFonts w:hint="eastAsia" w:ascii="Times New Roman" w:hAnsi="Times New Roman" w:eastAsia="宋体"/>
                <w:color w:val="111111"/>
                <w:sz w:val="24"/>
                <w:szCs w:val="24"/>
              </w:rPr>
              <w:t>美金</w:t>
            </w:r>
          </w:p>
          <w:p w14:paraId="03D8BE1D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{{{e1}*7/10000}}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2D02019A">
            <w:pPr>
              <w:spacing w:line="276" w:lineRule="auto"/>
              <w:jc w:val="center"/>
              <w:rPr>
                <w:rFonts w:ascii="Times New Roman" w:hAnsi="Times New Roman" w:eastAsia="宋体"/>
                <w:color w:val="11111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PMingLiU"/>
                <w:color w:val="00B0F0"/>
                <w:sz w:val="24"/>
                <w:szCs w:val="24"/>
              </w:rPr>
              <w:t>76岁：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{{{f1}*1}}</w:t>
            </w:r>
            <w:r>
              <w:rPr>
                <w:rFonts w:hint="eastAsia" w:ascii="Times New Roman" w:hAnsi="Times New Roman" w:eastAsia="宋体"/>
                <w:color w:val="111111"/>
                <w:sz w:val="24"/>
                <w:szCs w:val="24"/>
              </w:rPr>
              <w:t>美金</w:t>
            </w:r>
          </w:p>
          <w:p w14:paraId="41044B16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{{{f1}*7/10000}}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5CC1522C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86岁：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{{{g1}*1}}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7F7A5140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{{{g1}*7/10000}}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128BFA57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96岁：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{{{h1}*1}}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1F0F9946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{{{h1}*7/10000}}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3477D8B7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  <w:p w14:paraId="10C2DCC1">
            <w:pPr>
              <w:spacing w:line="276" w:lineRule="auto"/>
              <w:rPr>
                <w:rFonts w:ascii="Times New Roman" w:hAnsi="Times New Roman" w:eastAsia="宋体"/>
                <w:color w:val="FF000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4"/>
              </w:rPr>
              <w:t>没有发生重疾，自然身故也赔付。例如在96岁自然身故，就有</w:t>
            </w:r>
            <w:r>
              <w:rPr>
                <w:rFonts w:ascii="Times New Roman" w:hAnsi="Times New Roman" w:eastAsia="宋体"/>
                <w:color w:val="FF0000"/>
                <w:sz w:val="24"/>
                <w:szCs w:val="24"/>
              </w:rPr>
              <w:t>{{{h1}/10000}}</w:t>
            </w:r>
            <w:r>
              <w:rPr>
                <w:rFonts w:hint="eastAsia" w:ascii="Times New Roman" w:hAnsi="Times New Roman" w:eastAsia="宋体"/>
                <w:color w:val="FF0000"/>
                <w:sz w:val="24"/>
                <w:szCs w:val="24"/>
              </w:rPr>
              <w:t>万美元（{{{h1}*7/10000}}万人民币）作为身故遗产，免税传承给后代。</w:t>
            </w:r>
          </w:p>
        </w:tc>
      </w:tr>
      <w:tr w14:paraId="2662B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3" w:hRule="atLeast"/>
        </w:trPr>
        <w:tc>
          <w:tcPr>
            <w:tcW w:w="1560" w:type="dxa"/>
            <w:shd w:val="clear" w:color="auto" w:fill="auto"/>
          </w:tcPr>
          <w:p w14:paraId="6CF30B36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保障内容</w:t>
            </w:r>
          </w:p>
        </w:tc>
        <w:tc>
          <w:tcPr>
            <w:tcW w:w="9072" w:type="dxa"/>
            <w:gridSpan w:val="2"/>
            <w:shd w:val="clear" w:color="auto" w:fill="auto"/>
          </w:tcPr>
          <w:p w14:paraId="5B491AAD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PMingLiU"/>
                <w:b/>
                <w:bCs/>
                <w:sz w:val="24"/>
                <w:szCs w:val="24"/>
              </w:rPr>
              <w:t>7</w:t>
            </w:r>
            <w:r>
              <w:rPr>
                <w:rFonts w:ascii="Times New Roman" w:hAnsi="Times New Roman" w:eastAsia="宋体"/>
                <w:b/>
                <w:bCs/>
                <w:sz w:val="24"/>
                <w:szCs w:val="24"/>
              </w:rPr>
              <w:t>4</w:t>
            </w:r>
            <w:r>
              <w:rPr>
                <w:rFonts w:ascii="Times New Roman" w:hAnsi="Times New Roman" w:eastAsia="宋体" w:cs="PMingLiU"/>
                <w:b/>
                <w:bCs/>
                <w:sz w:val="24"/>
                <w:szCs w:val="24"/>
              </w:rPr>
              <w:t>种疾病（包括5</w:t>
            </w:r>
            <w:r>
              <w:rPr>
                <w:rFonts w:ascii="Times New Roman" w:hAnsi="Times New Roman" w:eastAsia="宋体"/>
                <w:b/>
                <w:bCs/>
                <w:sz w:val="24"/>
                <w:szCs w:val="24"/>
              </w:rPr>
              <w:t>6</w:t>
            </w:r>
            <w:r>
              <w:rPr>
                <w:rFonts w:ascii="Times New Roman" w:hAnsi="Times New Roman" w:eastAsia="宋体" w:cs="PMingLiU"/>
                <w:b/>
                <w:bCs/>
                <w:sz w:val="24"/>
                <w:szCs w:val="24"/>
              </w:rPr>
              <w:t>种重疾和18种轻疾）</w:t>
            </w:r>
          </w:p>
          <w:p w14:paraId="1E9138B0">
            <w:pPr>
              <w:pStyle w:val="12"/>
              <w:spacing w:line="276" w:lineRule="auto"/>
              <w:ind w:firstLine="0"/>
              <w:rPr>
                <w:rFonts w:ascii="Times New Roman" w:hAnsi="Times New Roman" w:eastAsia="宋体"/>
                <w:b/>
                <w:color w:val="70AD47" w:themeColor="accent6"/>
                <w:sz w:val="24"/>
                <w:szCs w:val="24"/>
              </w:rPr>
            </w:pP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eastAsia="宋体" w:cs="PMingLiU"/>
                <w:color w:val="FF0000"/>
                <w:sz w:val="24"/>
                <w:szCs w:val="24"/>
              </w:rPr>
              <w:t>早期疾病，可以理赔3次，每次赔付保额的20%-25%，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比如保额是1</w:t>
            </w:r>
            <w:r>
              <w:rPr>
                <w:rFonts w:hint="eastAsia" w:ascii="Times New Roman" w:hAnsi="Times New Roman" w:eastAsia="宋体" w:cs="PMingLiU"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万美金，轻疾理赔1</w:t>
            </w:r>
            <w:r>
              <w:rPr>
                <w:rFonts w:hint="eastAsia" w:ascii="Times New Roman" w:hAnsi="Times New Roman" w:eastAsia="宋体" w:cs="PMingLiU"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万*20%，或1</w:t>
            </w:r>
            <w:r>
              <w:rPr>
                <w:rFonts w:hint="eastAsia" w:ascii="Times New Roman" w:hAnsi="Times New Roman" w:eastAsia="宋体" w:cs="PMingLiU"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万*25%=</w:t>
            </w:r>
            <w:r>
              <w:rPr>
                <w:rFonts w:hint="eastAsia" w:ascii="Times New Roman" w:hAnsi="Times New Roman" w:eastAsia="宋体" w:cs="PMingLiU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万美金或</w:t>
            </w:r>
            <w:r>
              <w:rPr>
                <w:rFonts w:hint="eastAsia" w:ascii="Times New Roman" w:hAnsi="Times New Roman" w:eastAsia="宋体" w:cs="PMingLiU"/>
                <w:color w:val="000000"/>
                <w:sz w:val="24"/>
                <w:szCs w:val="24"/>
              </w:rPr>
              <w:t>3.75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万美金；</w:t>
            </w:r>
          </w:p>
          <w:p w14:paraId="516F1293">
            <w:pPr>
              <w:spacing w:line="276" w:lineRule="auto"/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PMingLiU"/>
                <w:color w:val="000000"/>
                <w:sz w:val="24"/>
                <w:szCs w:val="24"/>
              </w:rPr>
              <w:t>2. 重疾或身故理赔1次，赔付保额的100%+当年分红。</w:t>
            </w:r>
            <w:r>
              <w:rPr>
                <w:rFonts w:hint="eastAsia" w:ascii="Times New Roman" w:hAnsi="Times New Roman" w:eastAsia="宋体" w:cs="PMingLiU"/>
                <w:color w:val="000000"/>
                <w:sz w:val="24"/>
                <w:szCs w:val="24"/>
                <w:highlight w:val="yellow"/>
              </w:rPr>
              <w:t>以先生举例</w:t>
            </w:r>
            <w:r>
              <w:rPr>
                <w:rFonts w:hint="eastAsia" w:ascii="Times New Roman" w:hAnsi="Times New Roman" w:eastAsia="宋体" w:cs="PMingLiU"/>
                <w:color w:val="000000"/>
                <w:sz w:val="24"/>
                <w:szCs w:val="24"/>
              </w:rPr>
              <w:t>：如果96岁理赔，就赔付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{{{h}*1}}</w:t>
            </w:r>
            <w:r>
              <w:rPr>
                <w:rFonts w:hint="eastAsia" w:ascii="Times New Roman" w:hAnsi="Times New Roman" w:eastAsia="宋体" w:cs="PMingLiU"/>
                <w:color w:val="000000"/>
                <w:sz w:val="24"/>
                <w:szCs w:val="24"/>
              </w:rPr>
              <w:t>美金（基本保额是{b}万美金+分红是{{{h}-{b}*10000}}美金）</w:t>
            </w:r>
          </w:p>
        </w:tc>
      </w:tr>
      <w:tr w14:paraId="29756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9" w:hRule="atLeast"/>
        </w:trPr>
        <w:tc>
          <w:tcPr>
            <w:tcW w:w="1560" w:type="dxa"/>
            <w:tcBorders>
              <w:top w:val="nil"/>
              <w:bottom w:val="single" w:color="auto" w:sz="4" w:space="0"/>
            </w:tcBorders>
            <w:shd w:val="clear" w:color="auto" w:fill="auto"/>
          </w:tcPr>
          <w:p w14:paraId="33B4A9A9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保险配置的建议、</w:t>
            </w:r>
            <w:r>
              <w:rPr>
                <w:rFonts w:ascii="Times New Roman" w:hAnsi="Times New Roman" w:eastAsia="宋体"/>
                <w:b/>
                <w:bCs/>
                <w:color w:val="C9211E"/>
                <w:sz w:val="24"/>
                <w:szCs w:val="24"/>
              </w:rPr>
              <w:t>香港重疾险对比内地保险的优势总结</w:t>
            </w:r>
          </w:p>
        </w:tc>
        <w:tc>
          <w:tcPr>
            <w:tcW w:w="9072" w:type="dxa"/>
            <w:gridSpan w:val="2"/>
            <w:tcBorders>
              <w:top w:val="nil"/>
              <w:bottom w:val="single" w:color="auto" w:sz="4" w:space="0"/>
            </w:tcBorders>
            <w:shd w:val="clear" w:color="auto" w:fill="auto"/>
          </w:tcPr>
          <w:p w14:paraId="345DE396">
            <w:pPr>
              <w:spacing w:line="276" w:lineRule="auto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PMingLiU"/>
                <w:sz w:val="24"/>
                <w:szCs w:val="24"/>
              </w:rPr>
              <w:t xml:space="preserve">1.  </w:t>
            </w:r>
            <w:r>
              <w:rPr>
                <w:rFonts w:ascii="Times New Roman" w:hAnsi="Times New Roman" w:eastAsia="宋体" w:cs="PMingLiU"/>
                <w:b/>
                <w:bCs/>
                <w:sz w:val="24"/>
                <w:szCs w:val="24"/>
              </w:rPr>
              <w:t>从两地制度监管来说：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内地保险是80年代末才发展起来的，在内地金融业板块中，仍然是薄弱落后的行业。而香港作为国际金融中心，保险行业发展成熟，已有100多年的历史，</w:t>
            </w:r>
            <w:r>
              <w:rPr>
                <w:rFonts w:ascii="Times New Roman" w:hAnsi="Times New Roman" w:eastAsia="宋体" w:cs="PMingLiU"/>
                <w:b/>
                <w:bCs/>
                <w:color w:val="C9211E"/>
                <w:sz w:val="24"/>
                <w:szCs w:val="24"/>
              </w:rPr>
              <w:t>保险行业排名世界第一。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香港法律体系完善，理赔纠纷少，客户投保更放心。</w:t>
            </w:r>
          </w:p>
          <w:p w14:paraId="10F0BEE5">
            <w:pPr>
              <w:spacing w:line="276" w:lineRule="auto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PMingLiU"/>
                <w:sz w:val="24"/>
                <w:szCs w:val="24"/>
              </w:rPr>
              <w:t xml:space="preserve">2. </w:t>
            </w:r>
            <w:r>
              <w:rPr>
                <w:rFonts w:ascii="Times New Roman" w:hAnsi="Times New Roman" w:eastAsia="宋体" w:cs="PMingLiU"/>
                <w:b/>
                <w:bCs/>
                <w:sz w:val="24"/>
                <w:szCs w:val="24"/>
              </w:rPr>
              <w:t>从公司品牌来说：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保险是长期储蓄，要</w:t>
            </w:r>
            <w:r>
              <w:rPr>
                <w:rFonts w:ascii="Times New Roman" w:hAnsi="Times New Roman" w:eastAsia="宋体" w:cs="PMingLiU"/>
                <w:b/>
                <w:bCs/>
                <w:color w:val="FF4000"/>
                <w:sz w:val="24"/>
                <w:szCs w:val="24"/>
              </w:rPr>
              <w:t>选择大品牌，公司投资和管理实力强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的大公司，经得起风雨、扛得住经济危机，未来几十年后的理赔才有保证。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  <w:highlight w:val="yellow"/>
              </w:rPr>
              <w:t>保诚是英国最大的人身险公司，也是英国皇家保险公司，理赔过戴安娜王妃身故案、泰坦尼克号沉没等，已有17</w:t>
            </w:r>
            <w:r>
              <w:rPr>
                <w:rFonts w:hint="eastAsia" w:ascii="Times New Roman" w:hAnsi="Times New Roman" w:eastAsia="宋体" w:cs="PMingLiU"/>
                <w:color w:val="000000"/>
                <w:sz w:val="24"/>
                <w:szCs w:val="24"/>
                <w:highlight w:val="yellow"/>
                <w:lang w:val="en-US" w:eastAsia="zh-CN"/>
              </w:rPr>
              <w:t>8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  <w:highlight w:val="yellow"/>
              </w:rPr>
              <w:t>年历史，是著名老牌保险公司。</w:t>
            </w:r>
          </w:p>
          <w:p w14:paraId="7ED82304">
            <w:pPr>
              <w:spacing w:line="276" w:lineRule="auto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4"/>
                <w:szCs w:val="24"/>
              </w:rPr>
              <w:t xml:space="preserve">3. </w:t>
            </w:r>
            <w:r>
              <w:rPr>
                <w:rFonts w:ascii="Times New Roman" w:hAnsi="Times New Roman" w:eastAsia="宋体" w:cs="PMingLiU"/>
                <w:b/>
                <w:bCs/>
                <w:color w:val="000000"/>
                <w:sz w:val="24"/>
                <w:szCs w:val="24"/>
              </w:rPr>
              <w:t>国内保险的保额，不能分红不增长，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也就是说，现在投保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100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万人民币，等到年老时万一要用，还是只能理赔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100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万，</w:t>
            </w:r>
            <w:r>
              <w:rPr>
                <w:rFonts w:ascii="Times New Roman" w:hAnsi="Times New Roman" w:eastAsia="宋体" w:cs="PMingLiU"/>
                <w:color w:val="CE181E"/>
                <w:sz w:val="24"/>
                <w:szCs w:val="24"/>
              </w:rPr>
              <w:t>远不能抵御通货膨胀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（中国的医疗通胀率是9%）。</w:t>
            </w:r>
            <w:r>
              <w:rPr>
                <w:rFonts w:ascii="Times New Roman" w:hAnsi="Times New Roman" w:eastAsia="宋体" w:cs="PMingLiU"/>
                <w:b/>
                <w:bCs/>
                <w:color w:val="FF0000"/>
                <w:sz w:val="24"/>
                <w:szCs w:val="24"/>
              </w:rPr>
              <w:t>香港的保额不断增长，可抗通胀（比如起始保额是</w:t>
            </w:r>
            <w:r>
              <w:rPr>
                <w:rFonts w:hint="eastAsia" w:ascii="Times New Roman" w:hAnsi="Times New Roman" w:eastAsia="宋体" w:cs="PMingLiU"/>
                <w:b/>
                <w:bCs/>
                <w:color w:val="FF0000"/>
                <w:sz w:val="24"/>
                <w:szCs w:val="24"/>
              </w:rPr>
              <w:t>100</w:t>
            </w:r>
            <w:r>
              <w:rPr>
                <w:rFonts w:ascii="Times New Roman" w:hAnsi="Times New Roman" w:eastAsia="宋体" w:cs="PMingLiU"/>
                <w:b/>
                <w:bCs/>
                <w:color w:val="FF0000"/>
                <w:sz w:val="24"/>
                <w:szCs w:val="24"/>
              </w:rPr>
              <w:t>万人民币，86岁时可理赔</w:t>
            </w:r>
            <w:r>
              <w:rPr>
                <w:rFonts w:hint="eastAsia" w:ascii="Times New Roman" w:hAnsi="Times New Roman" w:eastAsia="宋体" w:cs="PMingLiU"/>
                <w:b/>
                <w:bCs/>
                <w:color w:val="FF0000"/>
                <w:sz w:val="24"/>
                <w:szCs w:val="24"/>
              </w:rPr>
              <w:t>296</w:t>
            </w:r>
            <w:r>
              <w:rPr>
                <w:rFonts w:ascii="Times New Roman" w:hAnsi="Times New Roman" w:eastAsia="宋体" w:cs="PMingLiU"/>
                <w:b/>
                <w:bCs/>
                <w:color w:val="FF0000"/>
                <w:sz w:val="24"/>
                <w:szCs w:val="24"/>
              </w:rPr>
              <w:t>万人民币，保持购买力）。</w:t>
            </w:r>
          </w:p>
          <w:p w14:paraId="44C449C3">
            <w:pPr>
              <w:spacing w:line="276" w:lineRule="auto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PMingLiU"/>
                <w:b/>
                <w:bCs/>
                <w:sz w:val="24"/>
                <w:szCs w:val="24"/>
              </w:rPr>
              <w:t xml:space="preserve">4. </w:t>
            </w:r>
            <w:r>
              <w:rPr>
                <w:rFonts w:ascii="Times New Roman" w:hAnsi="Times New Roman" w:eastAsia="宋体" w:cs="PMingLiU"/>
                <w:b/>
                <w:bCs/>
                <w:color w:val="000000"/>
                <w:sz w:val="24"/>
                <w:szCs w:val="24"/>
              </w:rPr>
              <w:t>货币选择：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香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港保险是</w:t>
            </w:r>
            <w:r>
              <w:rPr>
                <w:rFonts w:ascii="Times New Roman" w:hAnsi="Times New Roman" w:eastAsia="宋体" w:cs="PMingLiU"/>
                <w:sz w:val="24"/>
                <w:szCs w:val="24"/>
                <w:highlight w:val="yellow"/>
              </w:rPr>
              <w:t>美金计价。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两种货币的购买力，</w:t>
            </w:r>
            <w:r>
              <w:rPr>
                <w:rFonts w:ascii="Times New Roman" w:hAnsi="Times New Roman" w:eastAsia="宋体" w:cs="PMingLiU"/>
                <w:color w:val="CE181E"/>
                <w:sz w:val="24"/>
                <w:szCs w:val="24"/>
              </w:rPr>
              <w:t>美金更保值：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人民币每年贬值幅度为</w:t>
            </w:r>
            <w:r>
              <w:rPr>
                <w:rFonts w:ascii="Times New Roman" w:hAnsi="Times New Roman" w:eastAsia="宋体"/>
                <w:sz w:val="24"/>
                <w:szCs w:val="24"/>
                <w:highlight w:val="yellow"/>
              </w:rPr>
              <w:t>7</w:t>
            </w:r>
            <w:r>
              <w:rPr>
                <w:rFonts w:ascii="Times New Roman" w:hAnsi="Times New Roman" w:eastAsia="宋体" w:cs="PMingLiU"/>
                <w:sz w:val="24"/>
                <w:szCs w:val="24"/>
                <w:highlight w:val="yellow"/>
              </w:rPr>
              <w:t>%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 xml:space="preserve">  vs 美金每年贬值幅度为</w:t>
            </w:r>
            <w:r>
              <w:rPr>
                <w:rFonts w:ascii="Times New Roman" w:hAnsi="Times New Roman" w:eastAsia="宋体"/>
                <w:sz w:val="24"/>
                <w:szCs w:val="24"/>
                <w:highlight w:val="yellow"/>
              </w:rPr>
              <w:t>2</w:t>
            </w:r>
            <w:r>
              <w:rPr>
                <w:rFonts w:ascii="Times New Roman" w:hAnsi="Times New Roman" w:eastAsia="宋体" w:cs="PMingLiU"/>
                <w:sz w:val="24"/>
                <w:szCs w:val="24"/>
                <w:highlight w:val="yellow"/>
              </w:rPr>
              <w:t>%</w:t>
            </w:r>
          </w:p>
          <w:p w14:paraId="394E9AAD">
            <w:pPr>
              <w:spacing w:line="276" w:lineRule="auto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PMingLiU"/>
                <w:b/>
                <w:bCs/>
                <w:color w:val="000000"/>
                <w:sz w:val="24"/>
                <w:szCs w:val="24"/>
              </w:rPr>
              <w:t>5. 国内保险理赔定义比香港苛刻，不保事项更多：先天性疾病、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犯罪、核爆炸、酒后驾驶发生重疾，都不能赔。比如，肾透析要超过90天才可以理赔。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而香港没有时间要求，</w:t>
            </w:r>
            <w:r>
              <w:rPr>
                <w:rFonts w:ascii="Times New Roman" w:hAnsi="Times New Roman" w:eastAsia="宋体" w:cs="PMingLiU"/>
                <w:b/>
                <w:bCs/>
                <w:color w:val="FF0000"/>
                <w:sz w:val="24"/>
                <w:szCs w:val="24"/>
              </w:rPr>
              <w:t>理赔更人性化。</w:t>
            </w:r>
          </w:p>
          <w:p w14:paraId="02ACBAF1">
            <w:pPr>
              <w:spacing w:line="276" w:lineRule="auto"/>
              <w:jc w:val="left"/>
              <w:rPr>
                <w:rFonts w:ascii="Times New Roman" w:hAnsi="Times New Roman" w:eastAsia="宋体" w:cs="PMingLiU"/>
                <w:sz w:val="24"/>
                <w:szCs w:val="24"/>
              </w:rPr>
            </w:pPr>
            <w:r>
              <w:rPr>
                <w:rFonts w:ascii="Times New Roman" w:hAnsi="Times New Roman" w:eastAsia="宋体" w:cs="PMingLiU"/>
                <w:b/>
                <w:bCs/>
                <w:color w:val="000000"/>
                <w:sz w:val="24"/>
                <w:szCs w:val="24"/>
              </w:rPr>
              <w:t>6. 香港保险是全球理赔，保障范围广。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尤其现在大家经常出国旅游，孩子长大后大概率要出国留学，有一份全球保障的保险更安心。内地的保险，只能在国内公立医院理赔，使用范围窄。</w:t>
            </w:r>
          </w:p>
        </w:tc>
      </w:tr>
      <w:tr w14:paraId="1FC07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4" w:hRule="atLeast"/>
        </w:trPr>
        <w:tc>
          <w:tcPr>
            <w:tcW w:w="156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66DD003B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投保证件</w:t>
            </w:r>
          </w:p>
        </w:tc>
        <w:tc>
          <w:tcPr>
            <w:tcW w:w="9072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6F1A396C">
            <w:pPr>
              <w:spacing w:line="276" w:lineRule="auto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>1. 投保时，</w:t>
            </w:r>
            <w:r>
              <w:rPr>
                <w:rFonts w:hint="eastAsia" w:ascii="宋体" w:hAnsi="宋体" w:eastAsia="宋体" w:cs="PMingLiU"/>
                <w:color w:val="000000"/>
                <w:sz w:val="24"/>
                <w:szCs w:val="24"/>
                <w:highlight w:val="yellow"/>
              </w:rPr>
              <w:t>18岁以上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  <w:highlight w:val="yellow"/>
              </w:rPr>
              <w:t>成年人必须来香港签字录像</w:t>
            </w:r>
            <w:r>
              <w:rPr>
                <w:rFonts w:hint="eastAsia" w:ascii="宋体" w:hAnsi="宋体" w:eastAsia="宋体" w:cs="PMingLiU"/>
                <w:color w:val="000000"/>
                <w:sz w:val="24"/>
                <w:szCs w:val="24"/>
                <w:highlight w:val="yellow"/>
              </w:rPr>
              <w:t>。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  <w:highlight w:val="yellow"/>
              </w:rPr>
              <w:t>只需要投保时来一次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>，后面续保、理赔都不用来。续保，开一个香港银行卡，从内地转账到香港</w:t>
            </w:r>
            <w:r>
              <w:rPr>
                <w:rFonts w:hint="eastAsia" w:ascii="宋体" w:hAnsi="宋体" w:eastAsia="宋体" w:cs="PMingLiU"/>
                <w:color w:val="000000"/>
                <w:sz w:val="24"/>
                <w:szCs w:val="24"/>
              </w:rPr>
              <w:t>。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>理赔可以电子拍照上传。</w:t>
            </w:r>
          </w:p>
          <w:p w14:paraId="5C19D6CC">
            <w:pPr>
              <w:spacing w:line="276" w:lineRule="auto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>2. 证件是：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  <w:highlight w:val="yellow"/>
              </w:rPr>
              <w:t>内地身份证+港澳通行证</w:t>
            </w:r>
            <w:r>
              <w:rPr>
                <w:rFonts w:hint="eastAsia" w:ascii="宋体" w:hAnsi="宋体" w:eastAsia="宋体" w:cs="PMingLiU"/>
                <w:color w:val="000000"/>
                <w:sz w:val="24"/>
                <w:szCs w:val="24"/>
              </w:rPr>
              <w:t>+</w:t>
            </w:r>
            <w:r>
              <w:rPr>
                <w:rFonts w:hint="eastAsia" w:ascii="宋体" w:hAnsi="宋体" w:eastAsia="宋体" w:cs="PMingLiU"/>
                <w:color w:val="000000"/>
                <w:sz w:val="24"/>
                <w:szCs w:val="24"/>
                <w:highlight w:val="yellow"/>
              </w:rPr>
              <w:t>香港身份证（如有）</w:t>
            </w:r>
          </w:p>
          <w:p w14:paraId="665245F8">
            <w:pPr>
              <w:spacing w:line="276" w:lineRule="auto"/>
              <w:jc w:val="left"/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>3. 第一年的保费，可以兑好美金/港币带过来，也可以</w:t>
            </w:r>
            <w:r>
              <w:rPr>
                <w:rFonts w:hint="eastAsia" w:ascii="宋体" w:hAnsi="宋体" w:eastAsia="宋体" w:cs="PMingLiU"/>
                <w:color w:val="000000"/>
                <w:sz w:val="24"/>
                <w:szCs w:val="24"/>
              </w:rPr>
              <w:t>刷香港银行卡，或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>国内的visa、master信用卡。</w:t>
            </w:r>
            <w:r>
              <w:rPr>
                <w:rFonts w:ascii="宋体" w:hAnsi="宋体" w:eastAsia="宋体" w:cs="PMingLiU"/>
                <w:color w:val="FF0000"/>
                <w:sz w:val="24"/>
                <w:szCs w:val="24"/>
              </w:rPr>
              <w:t>注意，</w:t>
            </w:r>
            <w:r>
              <w:rPr>
                <w:rFonts w:hint="eastAsia" w:ascii="宋体" w:hAnsi="宋体" w:eastAsia="宋体" w:cs="PMingLiU"/>
                <w:color w:val="FF0000"/>
                <w:sz w:val="24"/>
                <w:szCs w:val="24"/>
              </w:rPr>
              <w:t>内地</w:t>
            </w:r>
            <w:r>
              <w:rPr>
                <w:rFonts w:ascii="宋体" w:hAnsi="宋体" w:eastAsia="宋体" w:cs="PMingLiU"/>
                <w:color w:val="FF0000"/>
                <w:sz w:val="24"/>
                <w:szCs w:val="24"/>
              </w:rPr>
              <w:t>银联卡不能刷。</w:t>
            </w:r>
          </w:p>
          <w:p w14:paraId="1AC8ADCE">
            <w:pPr>
              <w:spacing w:line="276" w:lineRule="auto"/>
              <w:jc w:val="left"/>
              <w:rPr>
                <w:rFonts w:ascii="Times New Roman" w:hAnsi="Times New Roman" w:eastAsia="宋体" w:cs="PMingLiU"/>
                <w:sz w:val="24"/>
                <w:szCs w:val="24"/>
              </w:rPr>
            </w:pP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 xml:space="preserve">4. 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  <w:highlight w:val="yellow"/>
              </w:rPr>
              <w:t>体检报告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>（如有；电子或纸质皆可）、过往的住院记录</w:t>
            </w:r>
          </w:p>
        </w:tc>
      </w:tr>
    </w:tbl>
    <w:p w14:paraId="17F63918">
      <w:pPr>
        <w:spacing w:line="276" w:lineRule="auto"/>
        <w:rPr>
          <w:rFonts w:ascii="Times New Roman" w:hAnsi="Times New Roman"/>
        </w:rPr>
      </w:pPr>
      <w:bookmarkStart w:id="0" w:name="_GoBack"/>
      <w:bookmarkEnd w:id="0"/>
    </w:p>
    <w:sectPr>
      <w:pgSz w:w="11906" w:h="16838"/>
      <w:pgMar w:top="1440" w:right="1800" w:bottom="1440" w:left="1800" w:header="0" w:footer="0" w:gutter="0"/>
      <w:cols w:space="720" w:num="1"/>
      <w:formProt w:val="0"/>
      <w:docGrid w:type="lines" w:linePitch="312" w:charSpace="57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Liberation Sans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MmRkZDhkYTIxYmI4NDE2NjFlN2YzMjUzMTVlMjg3ZDgifQ=="/>
  </w:docVars>
  <w:rsids>
    <w:rsidRoot w:val="00FE068E"/>
    <w:rsid w:val="00001ACB"/>
    <w:rsid w:val="00013F7B"/>
    <w:rsid w:val="000162E3"/>
    <w:rsid w:val="00034DFE"/>
    <w:rsid w:val="000632A2"/>
    <w:rsid w:val="000762E6"/>
    <w:rsid w:val="0009277E"/>
    <w:rsid w:val="000D00D3"/>
    <w:rsid w:val="000D74A9"/>
    <w:rsid w:val="000F6EB6"/>
    <w:rsid w:val="000F7E29"/>
    <w:rsid w:val="00151ED1"/>
    <w:rsid w:val="001645A2"/>
    <w:rsid w:val="00191B3F"/>
    <w:rsid w:val="001F4662"/>
    <w:rsid w:val="001F6908"/>
    <w:rsid w:val="0020628F"/>
    <w:rsid w:val="00206D19"/>
    <w:rsid w:val="00227E3E"/>
    <w:rsid w:val="0023245D"/>
    <w:rsid w:val="00235DCE"/>
    <w:rsid w:val="00274384"/>
    <w:rsid w:val="002849A0"/>
    <w:rsid w:val="002B6E97"/>
    <w:rsid w:val="002C6B7B"/>
    <w:rsid w:val="002D0558"/>
    <w:rsid w:val="002D5A96"/>
    <w:rsid w:val="002E4719"/>
    <w:rsid w:val="00301346"/>
    <w:rsid w:val="00307C40"/>
    <w:rsid w:val="00326838"/>
    <w:rsid w:val="0036672C"/>
    <w:rsid w:val="003838FF"/>
    <w:rsid w:val="00386A75"/>
    <w:rsid w:val="00393FCA"/>
    <w:rsid w:val="003A139E"/>
    <w:rsid w:val="003F6E15"/>
    <w:rsid w:val="00410E35"/>
    <w:rsid w:val="00416F99"/>
    <w:rsid w:val="00446975"/>
    <w:rsid w:val="00491A61"/>
    <w:rsid w:val="0049319D"/>
    <w:rsid w:val="004F5B67"/>
    <w:rsid w:val="00511885"/>
    <w:rsid w:val="00514CE3"/>
    <w:rsid w:val="00544DB3"/>
    <w:rsid w:val="005518CD"/>
    <w:rsid w:val="0055726C"/>
    <w:rsid w:val="00574B34"/>
    <w:rsid w:val="0059210C"/>
    <w:rsid w:val="00594788"/>
    <w:rsid w:val="00626876"/>
    <w:rsid w:val="00684A94"/>
    <w:rsid w:val="00691E2D"/>
    <w:rsid w:val="00710E59"/>
    <w:rsid w:val="00711E2D"/>
    <w:rsid w:val="00716B45"/>
    <w:rsid w:val="00757A63"/>
    <w:rsid w:val="0077727B"/>
    <w:rsid w:val="007A07A7"/>
    <w:rsid w:val="007E3D81"/>
    <w:rsid w:val="007F0B88"/>
    <w:rsid w:val="007F5A31"/>
    <w:rsid w:val="0080624A"/>
    <w:rsid w:val="0083334A"/>
    <w:rsid w:val="008479CD"/>
    <w:rsid w:val="008622A4"/>
    <w:rsid w:val="008634F0"/>
    <w:rsid w:val="00887870"/>
    <w:rsid w:val="00892FBA"/>
    <w:rsid w:val="00895C3C"/>
    <w:rsid w:val="008A7D5A"/>
    <w:rsid w:val="008D5F1B"/>
    <w:rsid w:val="008E3642"/>
    <w:rsid w:val="00932B1B"/>
    <w:rsid w:val="00982C54"/>
    <w:rsid w:val="009920D9"/>
    <w:rsid w:val="009A2DFC"/>
    <w:rsid w:val="009B6F7F"/>
    <w:rsid w:val="009C19EF"/>
    <w:rsid w:val="009E0D9F"/>
    <w:rsid w:val="00A23FDD"/>
    <w:rsid w:val="00A36894"/>
    <w:rsid w:val="00A802B4"/>
    <w:rsid w:val="00A87048"/>
    <w:rsid w:val="00AA77B1"/>
    <w:rsid w:val="00B10BCB"/>
    <w:rsid w:val="00B24554"/>
    <w:rsid w:val="00B5519E"/>
    <w:rsid w:val="00B735AF"/>
    <w:rsid w:val="00B86F44"/>
    <w:rsid w:val="00BB1D58"/>
    <w:rsid w:val="00BC6985"/>
    <w:rsid w:val="00BD4336"/>
    <w:rsid w:val="00BF39F6"/>
    <w:rsid w:val="00C04693"/>
    <w:rsid w:val="00C11AFE"/>
    <w:rsid w:val="00C2069C"/>
    <w:rsid w:val="00C75E3F"/>
    <w:rsid w:val="00CB4867"/>
    <w:rsid w:val="00CC1DB5"/>
    <w:rsid w:val="00CE475B"/>
    <w:rsid w:val="00CF7153"/>
    <w:rsid w:val="00D019A6"/>
    <w:rsid w:val="00D16000"/>
    <w:rsid w:val="00D16FD9"/>
    <w:rsid w:val="00D41324"/>
    <w:rsid w:val="00D875C1"/>
    <w:rsid w:val="00DA6208"/>
    <w:rsid w:val="00DB092E"/>
    <w:rsid w:val="00DC61DD"/>
    <w:rsid w:val="00DE7DC4"/>
    <w:rsid w:val="00E155DD"/>
    <w:rsid w:val="00E56151"/>
    <w:rsid w:val="00E96951"/>
    <w:rsid w:val="00F16C22"/>
    <w:rsid w:val="00F67304"/>
    <w:rsid w:val="00FB4CF0"/>
    <w:rsid w:val="00FD2005"/>
    <w:rsid w:val="00FE068E"/>
    <w:rsid w:val="074752C3"/>
    <w:rsid w:val="102962AF"/>
    <w:rsid w:val="14C8078D"/>
    <w:rsid w:val="2E8309EA"/>
    <w:rsid w:val="5A9A061F"/>
    <w:rsid w:val="5D7A4E55"/>
    <w:rsid w:val="5EAA6964"/>
    <w:rsid w:val="6F7A47B8"/>
    <w:rsid w:val="7EED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3">
    <w:name w:val="Body Text"/>
    <w:basedOn w:val="1"/>
    <w:qFormat/>
    <w:uiPriority w:val="0"/>
    <w:pPr>
      <w:spacing w:after="140" w:line="276" w:lineRule="auto"/>
    </w:pPr>
  </w:style>
  <w:style w:type="paragraph" w:styleId="4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"/>
    <w:basedOn w:val="3"/>
    <w:qFormat/>
    <w:uiPriority w:val="0"/>
    <w:rPr>
      <w:rFonts w:cs="Lucida Sans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标题样式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Microsoft JhengHei" w:cs="Lucida Sans"/>
      <w:sz w:val="28"/>
      <w:szCs w:val="28"/>
    </w:rPr>
  </w:style>
  <w:style w:type="paragraph" w:customStyle="1" w:styleId="11">
    <w:name w:val="索引"/>
    <w:basedOn w:val="1"/>
    <w:qFormat/>
    <w:uiPriority w:val="0"/>
    <w:pPr>
      <w:suppressLineNumbers/>
    </w:pPr>
    <w:rPr>
      <w:rFonts w:cs="Lucida Sans"/>
    </w:rPr>
  </w:style>
  <w:style w:type="paragraph" w:styleId="12">
    <w:name w:val="List Paragraph"/>
    <w:basedOn w:val="1"/>
    <w:qFormat/>
    <w:uiPriority w:val="34"/>
    <w:pPr>
      <w:ind w:firstLine="420"/>
    </w:pPr>
  </w:style>
  <w:style w:type="paragraph" w:customStyle="1" w:styleId="13">
    <w:name w:val="表格内容"/>
    <w:basedOn w:val="1"/>
    <w:qFormat/>
    <w:uiPriority w:val="0"/>
    <w:pPr>
      <w:suppressLineNumbers/>
    </w:pPr>
  </w:style>
  <w:style w:type="paragraph" w:customStyle="1" w:styleId="14">
    <w:name w:val="表格标题"/>
    <w:basedOn w:val="13"/>
    <w:qFormat/>
    <w:uiPriority w:val="0"/>
    <w:pPr>
      <w:jc w:val="center"/>
    </w:pPr>
    <w:rPr>
      <w:b/>
      <w:bCs/>
    </w:rPr>
  </w:style>
  <w:style w:type="character" w:customStyle="1" w:styleId="15">
    <w:name w:val="页眉 字符"/>
    <w:basedOn w:val="9"/>
    <w:link w:val="5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6">
    <w:name w:val="页脚 字符"/>
    <w:basedOn w:val="9"/>
    <w:link w:val="4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1416</Words>
  <Characters>2096</Characters>
  <Lines>15</Lines>
  <Paragraphs>4</Paragraphs>
  <TotalTime>83</TotalTime>
  <ScaleCrop>false</ScaleCrop>
  <LinksUpToDate>false</LinksUpToDate>
  <CharactersWithSpaces>2117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2017-10-28T10:24:00Z</dcterms:created>
  <dc:creator>XU Minjun</dc:creator>
  <cp:lastModifiedBy>刘阳</cp:lastModifiedBy>
  <cp:lastPrinted>2023-08-03T09:08:00Z</cp:lastPrinted>
  <dcterms:modified xsi:type="dcterms:W3CDTF">2026-01-12T02:23:59Z</dcterms:modified>
  <cp:revision>306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2052-12.1.0.24031</vt:lpwstr>
  </property>
  <property fmtid="{D5CDD505-2E9C-101B-9397-08002B2CF9AE}" pid="10" name="ICV">
    <vt:lpwstr>916EB5B5BA06477B917842886B158E47_12</vt:lpwstr>
  </property>
  <property fmtid="{D5CDD505-2E9C-101B-9397-08002B2CF9AE}" pid="11" name="KSOTemplateDocerSaveRecord">
    <vt:lpwstr>eyJoZGlkIjoiNjc5NDFmYjllYzExZjg0MGNkNDM2M2Q1ZDQ1MzNiNDgiLCJ1c2VySWQiOiIxMDA4MDYxODE0In0=</vt:lpwstr>
  </property>
</Properties>
</file>