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B5EF" w14:textId="4671310B" w:rsidR="00347B86" w:rsidRPr="00347B86" w:rsidRDefault="00347B86" w:rsidP="00347B86">
      <w:r w:rsidRPr="00347B86">
        <w:rPr>
          <w:b/>
          <w:bCs/>
        </w:rPr>
        <w:t>Annual Recurring Revenue (ARR)</w:t>
      </w:r>
      <w:r w:rsidRPr="00347B86">
        <w:t xml:space="preserve"> – Annual recurring revenue is the recurring revenue that we expect to receive from our customers for providing them with products or services on an annual (12 month) basis.</w:t>
      </w:r>
      <w:r w:rsidRPr="00347B86">
        <w:rPr>
          <w:u w:val="single"/>
        </w:rPr>
        <w:t xml:space="preserve"> </w:t>
      </w:r>
      <w:proofErr w:type="spellStart"/>
      <w:r w:rsidRPr="00347B86">
        <w:t>EasyTech</w:t>
      </w:r>
      <w:proofErr w:type="spellEnd"/>
      <w:r w:rsidRPr="00347B86">
        <w:t xml:space="preserve"> subscriptions are sold as an ARR subscription. ARR is different from revenue and different from bookings in a few key ways. ARR is based on the full </w:t>
      </w:r>
      <w:proofErr w:type="gramStart"/>
      <w:r w:rsidRPr="00347B86">
        <w:t>12 month</w:t>
      </w:r>
      <w:proofErr w:type="gramEnd"/>
      <w:r w:rsidRPr="00347B86">
        <w:t xml:space="preserve"> contractual value of a deal but may not always be 100% aligned with revenue and bookings. An example is helpful to illustrate this: </w:t>
      </w:r>
    </w:p>
    <w:p w14:paraId="44517627" w14:textId="4A764AE2" w:rsidR="00347B86" w:rsidRPr="00347B86" w:rsidRDefault="00347B86" w:rsidP="00347B86">
      <w:pPr>
        <w:numPr>
          <w:ilvl w:val="0"/>
          <w:numId w:val="1"/>
        </w:numPr>
      </w:pPr>
      <w:r w:rsidRPr="00347B86">
        <w:t xml:space="preserve">A customer purchases </w:t>
      </w:r>
      <w:proofErr w:type="spellStart"/>
      <w:r w:rsidRPr="00347B86">
        <w:t>EasyTech</w:t>
      </w:r>
      <w:proofErr w:type="spellEnd"/>
      <w:r w:rsidRPr="00347B86">
        <w:t xml:space="preserve"> partway through the school year for 6 months, paid at $6k. Their first subscription has a term of 6 months or half of one year and they have paid for 6 months of service because the product price has been pro-rated for the less than </w:t>
      </w:r>
      <w:proofErr w:type="gramStart"/>
      <w:r w:rsidRPr="00347B86">
        <w:t>12 month</w:t>
      </w:r>
      <w:proofErr w:type="gramEnd"/>
      <w:r w:rsidRPr="00347B86">
        <w:t xml:space="preserve"> period. However, the customer is expected to </w:t>
      </w:r>
      <w:proofErr w:type="gramStart"/>
      <w:r w:rsidRPr="00347B86">
        <w:t>renew</w:t>
      </w:r>
      <w:proofErr w:type="gramEnd"/>
      <w:r w:rsidRPr="00347B86">
        <w:t xml:space="preserve"> annually on a go-forward </w:t>
      </w:r>
      <w:proofErr w:type="gramStart"/>
      <w:r w:rsidRPr="00347B86">
        <w:t>basis</w:t>
      </w:r>
      <w:proofErr w:type="gramEnd"/>
      <w:r w:rsidRPr="00347B86">
        <w:t xml:space="preserve"> and the annual value of the </w:t>
      </w:r>
      <w:r>
        <w:t>renewal</w:t>
      </w:r>
      <w:r w:rsidRPr="00347B86">
        <w:t xml:space="preserve"> is $12k. The ARR value of </w:t>
      </w:r>
      <w:r>
        <w:t>the initial</w:t>
      </w:r>
      <w:r w:rsidRPr="00347B86">
        <w:t xml:space="preserve"> contract is $</w:t>
      </w:r>
      <w:r>
        <w:t>6</w:t>
      </w:r>
      <w:r w:rsidRPr="00347B86">
        <w:t>k ($</w:t>
      </w:r>
      <w:r>
        <w:t>12</w:t>
      </w:r>
      <w:r w:rsidRPr="00347B86">
        <w:t xml:space="preserve">k divided by the period pro-ration of ½). The </w:t>
      </w:r>
      <w:r>
        <w:t>renewal contract ARR value is $12k</w:t>
      </w:r>
      <w:r w:rsidRPr="00347B86">
        <w:t> </w:t>
      </w:r>
    </w:p>
    <w:p w14:paraId="042E9854" w14:textId="77777777" w:rsidR="00347B86" w:rsidRPr="00347B86" w:rsidRDefault="00347B86" w:rsidP="00347B86">
      <w:pPr>
        <w:rPr>
          <w:b/>
          <w:bCs/>
        </w:rPr>
      </w:pPr>
      <w:r w:rsidRPr="00347B86">
        <w:rPr>
          <w:b/>
          <w:bCs/>
        </w:rPr>
        <w:t>ARR Types</w:t>
      </w:r>
    </w:p>
    <w:p w14:paraId="0A96800C" w14:textId="77777777" w:rsidR="00347B86" w:rsidRPr="00347B86" w:rsidRDefault="00347B86" w:rsidP="00347B86">
      <w:r w:rsidRPr="00347B86">
        <w:t>The current methodology supports three complementary types of ARR. Each is calculated from the same underlying Salesforce opportunity data, but applies different rules around timing, confirmation, and the treatment of recent renewal activity:</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1511"/>
        <w:gridCol w:w="2220"/>
        <w:gridCol w:w="7669"/>
      </w:tblGrid>
      <w:tr w:rsidR="00347B86" w:rsidRPr="00347B86" w14:paraId="306A2097" w14:textId="77777777">
        <w:trPr>
          <w:trHeight w:val="1254"/>
        </w:trPr>
        <w:tc>
          <w:tcPr>
            <w:tcW w:w="0" w:type="auto"/>
            <w:tcBorders>
              <w:top w:val="single" w:sz="4" w:space="0" w:color="DDDEE1"/>
              <w:left w:val="single" w:sz="4" w:space="0" w:color="DDDEE1"/>
              <w:bottom w:val="single" w:sz="2" w:space="0" w:color="DDDEE1"/>
              <w:right w:val="single" w:sz="2" w:space="0" w:color="DDDEE1"/>
            </w:tcBorders>
            <w:shd w:val="clear" w:color="auto" w:fill="EAEAEA"/>
            <w:tcMar>
              <w:top w:w="120" w:type="dxa"/>
              <w:left w:w="120" w:type="dxa"/>
              <w:bottom w:w="120" w:type="dxa"/>
              <w:right w:w="120" w:type="dxa"/>
            </w:tcMar>
            <w:hideMark/>
          </w:tcPr>
          <w:p w14:paraId="4ABB024F" w14:textId="77777777" w:rsidR="00347B86" w:rsidRPr="00347B86" w:rsidRDefault="00347B86" w:rsidP="00347B86">
            <w:r w:rsidRPr="00347B86">
              <w:t> </w:t>
            </w:r>
          </w:p>
          <w:p w14:paraId="03546226" w14:textId="77777777" w:rsidR="00347B86" w:rsidRPr="00347B86" w:rsidRDefault="00347B86" w:rsidP="00347B86">
            <w:r w:rsidRPr="00347B86">
              <w:rPr>
                <w:b/>
                <w:bCs/>
              </w:rPr>
              <w:t>ARR view</w:t>
            </w:r>
          </w:p>
        </w:tc>
        <w:tc>
          <w:tcPr>
            <w:tcW w:w="0" w:type="auto"/>
            <w:tcBorders>
              <w:top w:val="single" w:sz="4" w:space="0" w:color="DDDEE1"/>
              <w:left w:val="single" w:sz="4" w:space="0" w:color="DDDEE1"/>
              <w:bottom w:val="single" w:sz="2" w:space="0" w:color="DDDEE1"/>
              <w:right w:val="single" w:sz="2" w:space="0" w:color="DDDEE1"/>
            </w:tcBorders>
            <w:shd w:val="clear" w:color="auto" w:fill="EAEAEA"/>
            <w:tcMar>
              <w:top w:w="120" w:type="dxa"/>
              <w:left w:w="120" w:type="dxa"/>
              <w:bottom w:w="120" w:type="dxa"/>
              <w:right w:w="120" w:type="dxa"/>
            </w:tcMar>
            <w:hideMark/>
          </w:tcPr>
          <w:p w14:paraId="5746104A" w14:textId="77777777" w:rsidR="00347B86" w:rsidRPr="00347B86" w:rsidRDefault="00347B86" w:rsidP="00347B86">
            <w:r w:rsidRPr="00347B86">
              <w:rPr>
                <w:b/>
                <w:bCs/>
              </w:rPr>
              <w:t>Primary use</w:t>
            </w:r>
          </w:p>
        </w:tc>
        <w:tc>
          <w:tcPr>
            <w:tcW w:w="0" w:type="auto"/>
            <w:tcBorders>
              <w:top w:val="single" w:sz="4" w:space="0" w:color="DDDEE1"/>
              <w:left w:val="single" w:sz="4" w:space="0" w:color="DDDEE1"/>
              <w:bottom w:val="single" w:sz="2" w:space="0" w:color="DDDEE1"/>
              <w:right w:val="single" w:sz="2" w:space="0" w:color="DDDEE1"/>
            </w:tcBorders>
            <w:shd w:val="clear" w:color="auto" w:fill="EAEAEA"/>
            <w:tcMar>
              <w:top w:w="120" w:type="dxa"/>
              <w:left w:w="120" w:type="dxa"/>
              <w:bottom w:w="120" w:type="dxa"/>
              <w:right w:w="120" w:type="dxa"/>
            </w:tcMar>
            <w:hideMark/>
          </w:tcPr>
          <w:p w14:paraId="35EBC179" w14:textId="77777777" w:rsidR="00347B86" w:rsidRPr="00347B86" w:rsidRDefault="00347B86" w:rsidP="00347B86">
            <w:r w:rsidRPr="00347B86">
              <w:rPr>
                <w:b/>
                <w:bCs/>
              </w:rPr>
              <w:t>Description</w:t>
            </w:r>
          </w:p>
        </w:tc>
      </w:tr>
      <w:tr w:rsidR="00347B86" w:rsidRPr="00347B86" w14:paraId="27C6FF91"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2710E54" w14:textId="77777777" w:rsidR="00347B86" w:rsidRPr="00347B86" w:rsidRDefault="00347B86" w:rsidP="00347B86">
            <w:r w:rsidRPr="00347B86">
              <w:t>True ARR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63FA5AC" w14:textId="77777777" w:rsidR="00347B86" w:rsidRPr="00347B86" w:rsidRDefault="00347B86" w:rsidP="00347B86">
            <w:proofErr w:type="gramStart"/>
            <w:r w:rsidRPr="00347B86">
              <w:t>Actuals</w:t>
            </w:r>
            <w:proofErr w:type="gramEnd"/>
            <w:r w:rsidRPr="00347B86">
              <w:t>-based reference view</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2C3ACC0" w14:textId="77777777" w:rsidR="00347B86" w:rsidRPr="00347B86" w:rsidRDefault="00347B86" w:rsidP="00347B86">
            <w:r w:rsidRPr="00347B86">
              <w:t>Recognizes ARR only when payment is received for won contracts or cancellation is confirmed for lost contracts. ARR decreases when contracts expire without renewal.</w:t>
            </w:r>
          </w:p>
        </w:tc>
      </w:tr>
      <w:tr w:rsidR="00347B86" w:rsidRPr="00347B86" w14:paraId="2BD1EE7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84731E6" w14:textId="77777777" w:rsidR="00347B86" w:rsidRPr="00347B86" w:rsidRDefault="00347B86" w:rsidP="00347B86">
            <w:r w:rsidRPr="00347B86">
              <w:t>Backdated ARR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E521553" w14:textId="77777777" w:rsidR="00347B86" w:rsidRPr="00347B86" w:rsidRDefault="00347B86" w:rsidP="00347B86">
            <w:r w:rsidRPr="00347B86">
              <w:t>Primary view for adjusted historical reporting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E090A03" w14:textId="77777777" w:rsidR="00347B86" w:rsidRPr="00347B86" w:rsidRDefault="00347B86" w:rsidP="00347B86">
            <w:r w:rsidRPr="00347B86">
              <w:t xml:space="preserve">Ties ARR to </w:t>
            </w:r>
            <w:proofErr w:type="gramStart"/>
            <w:r w:rsidRPr="00347B86">
              <w:t>the contract</w:t>
            </w:r>
            <w:proofErr w:type="gramEnd"/>
            <w:r w:rsidRPr="00347B86">
              <w:t xml:space="preserve"> start date, but only after payment is received or cancellation is confirmed. Historical periods are retroactively adjusted when new information becomes available.</w:t>
            </w:r>
          </w:p>
        </w:tc>
      </w:tr>
      <w:tr w:rsidR="00347B86" w:rsidRPr="00347B86" w14:paraId="5AD514CA"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FB6B2E9" w14:textId="77777777" w:rsidR="00347B86" w:rsidRPr="00347B86" w:rsidRDefault="00347B86" w:rsidP="00347B86">
            <w:r w:rsidRPr="00347B86">
              <w:t>Preliminary ARR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EFA6066" w14:textId="77777777" w:rsidR="00347B86" w:rsidRPr="00347B86" w:rsidRDefault="00347B86" w:rsidP="00347B86">
            <w:r w:rsidRPr="00347B86">
              <w:t>Primary view for recent and current estimated reporting</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650F508" w14:textId="77777777" w:rsidR="00347B86" w:rsidRPr="00347B86" w:rsidRDefault="00347B86" w:rsidP="00347B86">
            <w:proofErr w:type="gramStart"/>
            <w:r w:rsidRPr="00347B86">
              <w:t>Uses</w:t>
            </w:r>
            <w:proofErr w:type="gramEnd"/>
            <w:r w:rsidRPr="00347B86">
              <w:t xml:space="preserve"> standardized grace periods to estimate ARR while renewal and payment information is still emerging. Grace periods are 6 months for State / Biz Dev deals, 90 days for Texas accounts, and 60 days for other district accounts. Recognizes ARR only when payment is received for won contracts or cancellation is confirmed for lost contracts.</w:t>
            </w:r>
          </w:p>
        </w:tc>
      </w:tr>
    </w:tbl>
    <w:p w14:paraId="4BB51622" w14:textId="77777777" w:rsidR="006C3BA0" w:rsidRDefault="006C3BA0" w:rsidP="00347B86">
      <w:r w:rsidRPr="006C3BA0">
        <w:rPr>
          <w:b/>
          <w:bCs/>
        </w:rPr>
        <w:lastRenderedPageBreak/>
        <w:t>Business questions</w:t>
      </w:r>
      <w:r>
        <w:t xml:space="preserve">: </w:t>
      </w:r>
    </w:p>
    <w:p w14:paraId="7875DF6A" w14:textId="4B85164B" w:rsidR="006C3BA0" w:rsidRDefault="006C3BA0" w:rsidP="006C3BA0">
      <w:pPr>
        <w:pStyle w:val="ListParagraph"/>
        <w:numPr>
          <w:ilvl w:val="0"/>
          <w:numId w:val="2"/>
        </w:numPr>
      </w:pPr>
      <w:r w:rsidRPr="006C3BA0">
        <w:t>How much ARR do we have in this month</w:t>
      </w:r>
      <w:r>
        <w:t xml:space="preserve"> per Account/Customer/State/Product or Company as a whole?</w:t>
      </w:r>
    </w:p>
    <w:p w14:paraId="28D7239E" w14:textId="2ADA7D9B" w:rsidR="006C3BA0" w:rsidRDefault="006C3BA0" w:rsidP="006C3BA0">
      <w:pPr>
        <w:pStyle w:val="ListParagraph"/>
        <w:numPr>
          <w:ilvl w:val="0"/>
          <w:numId w:val="2"/>
        </w:numPr>
      </w:pPr>
      <w:r w:rsidRPr="006C3BA0">
        <w:t xml:space="preserve">Why did our ARR </w:t>
      </w:r>
      <w:r>
        <w:t>change</w:t>
      </w:r>
      <w:r w:rsidRPr="006C3BA0">
        <w:t>?</w:t>
      </w:r>
    </w:p>
    <w:p w14:paraId="525CC1D6" w14:textId="339536BE" w:rsidR="006C3BA0" w:rsidRDefault="00347B86" w:rsidP="00347B86">
      <w:r w:rsidRPr="00347B86">
        <w:t xml:space="preserve">For more details visit </w:t>
      </w:r>
      <w:hyperlink r:id="rId5" w:tooltip="https://learningcom.atlassian.net/wiki/x/AYDP3Q" w:history="1">
        <w:r w:rsidRPr="00347B86">
          <w:rPr>
            <w:rStyle w:val="Hyperlink"/>
          </w:rPr>
          <w:t>ARR Methodology, Framework and Definitions</w:t>
        </w:r>
      </w:hyperlink>
    </w:p>
    <w:p w14:paraId="74A051F3" w14:textId="5FBDD2A4" w:rsidR="006C3BA0" w:rsidRDefault="006C3BA0" w:rsidP="006C3BA0">
      <w:r w:rsidRPr="006C3BA0">
        <w:rPr>
          <w:b/>
          <w:bCs/>
        </w:rPr>
        <w:t xml:space="preserve">Opportunity </w:t>
      </w:r>
      <w:r>
        <w:rPr>
          <w:b/>
          <w:bCs/>
        </w:rPr>
        <w:t xml:space="preserve">or Deal </w:t>
      </w:r>
      <w:r w:rsidRPr="006C3BA0">
        <w:rPr>
          <w:b/>
          <w:bCs/>
        </w:rPr>
        <w:t>ARR</w:t>
      </w:r>
      <w:r w:rsidRPr="006C3BA0">
        <w:t xml:space="preserve"> is the annual recurring value associated with an individual sales opportunity</w:t>
      </w:r>
      <w:r>
        <w:t xml:space="preserve"> or opportunity product line</w:t>
      </w:r>
      <w:r w:rsidRPr="006C3BA0">
        <w:t>. It describes the value of the deal itself</w:t>
      </w:r>
      <w:r>
        <w:t>.</w:t>
      </w:r>
    </w:p>
    <w:p w14:paraId="5051FE94" w14:textId="69065975" w:rsidR="006C3BA0" w:rsidRPr="00347B86" w:rsidRDefault="006C3BA0" w:rsidP="00347B86">
      <w:r w:rsidRPr="006C3BA0">
        <w:rPr>
          <w:b/>
          <w:bCs/>
        </w:rPr>
        <w:t>Business question</w:t>
      </w:r>
      <w:r>
        <w:t xml:space="preserve">: </w:t>
      </w:r>
      <w:r w:rsidRPr="006C3BA0">
        <w:t xml:space="preserve">How </w:t>
      </w:r>
      <w:r w:rsidRPr="006C3BA0">
        <w:t>much</w:t>
      </w:r>
      <w:r w:rsidRPr="006C3BA0">
        <w:t xml:space="preserve"> is this deal worth?</w:t>
      </w:r>
    </w:p>
    <w:p w14:paraId="1656AE85" w14:textId="77777777" w:rsidR="00347B86" w:rsidRDefault="00347B86" w:rsidP="00347B86">
      <w:proofErr w:type="gramStart"/>
      <w:r w:rsidRPr="00347B86">
        <w:rPr>
          <w:b/>
          <w:bCs/>
        </w:rPr>
        <w:t>Non Recurring</w:t>
      </w:r>
      <w:proofErr w:type="gramEnd"/>
      <w:r w:rsidRPr="00347B86">
        <w:rPr>
          <w:b/>
          <w:bCs/>
        </w:rPr>
        <w:t xml:space="preserve"> Revenue (NRR)</w:t>
      </w:r>
      <w:r w:rsidRPr="00347B86">
        <w:t xml:space="preserve"> – revenue that we expect to receive from our customers for providing them with products or services on a one-time, non-recurring basis.</w:t>
      </w:r>
      <w:r w:rsidRPr="00347B86">
        <w:rPr>
          <w:rFonts w:ascii="Arial" w:hAnsi="Arial" w:cs="Arial"/>
        </w:rPr>
        <w:t> </w:t>
      </w:r>
      <w:r w:rsidRPr="00347B86">
        <w:t xml:space="preserve"> An example of NRR would be a full day of professional development training for a district. </w:t>
      </w:r>
    </w:p>
    <w:p w14:paraId="06D8E031" w14:textId="161A5FBE" w:rsidR="006C3BA0" w:rsidRDefault="00347B86" w:rsidP="00347B86">
      <w:r w:rsidRPr="00347B86">
        <w:t xml:space="preserve">NRR also covers any product that is typically sold as a subscription </w:t>
      </w:r>
      <w:r>
        <w:t>for periods longer than 12 months. The first year of such subscriptions is recognized as ARR and the rest as NRR.</w:t>
      </w:r>
    </w:p>
    <w:p w14:paraId="38A6EE59" w14:textId="77777777" w:rsidR="00933D10" w:rsidRDefault="00933D10"/>
    <w:sectPr w:rsidR="00933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873E3"/>
    <w:multiLevelType w:val="hybridMultilevel"/>
    <w:tmpl w:val="4350E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841852"/>
    <w:multiLevelType w:val="multilevel"/>
    <w:tmpl w:val="64A6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445435">
    <w:abstractNumId w:val="1"/>
  </w:num>
  <w:num w:numId="2" w16cid:durableId="954679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86"/>
    <w:rsid w:val="00347B86"/>
    <w:rsid w:val="003803FA"/>
    <w:rsid w:val="006C3BA0"/>
    <w:rsid w:val="00933D10"/>
    <w:rsid w:val="00A36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5530D"/>
  <w15:chartTrackingRefBased/>
  <w15:docId w15:val="{E9BAB28A-AC8C-40ED-A5FF-BD55B2CF1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B86"/>
    <w:rPr>
      <w:rFonts w:eastAsiaTheme="majorEastAsia" w:cstheme="majorBidi"/>
      <w:color w:val="272727" w:themeColor="text1" w:themeTint="D8"/>
    </w:rPr>
  </w:style>
  <w:style w:type="paragraph" w:styleId="Title">
    <w:name w:val="Title"/>
    <w:basedOn w:val="Normal"/>
    <w:next w:val="Normal"/>
    <w:link w:val="TitleChar"/>
    <w:uiPriority w:val="10"/>
    <w:qFormat/>
    <w:rsid w:val="00347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B86"/>
    <w:pPr>
      <w:spacing w:before="160"/>
      <w:jc w:val="center"/>
    </w:pPr>
    <w:rPr>
      <w:i/>
      <w:iCs/>
      <w:color w:val="404040" w:themeColor="text1" w:themeTint="BF"/>
    </w:rPr>
  </w:style>
  <w:style w:type="character" w:customStyle="1" w:styleId="QuoteChar">
    <w:name w:val="Quote Char"/>
    <w:basedOn w:val="DefaultParagraphFont"/>
    <w:link w:val="Quote"/>
    <w:uiPriority w:val="29"/>
    <w:rsid w:val="00347B86"/>
    <w:rPr>
      <w:i/>
      <w:iCs/>
      <w:color w:val="404040" w:themeColor="text1" w:themeTint="BF"/>
    </w:rPr>
  </w:style>
  <w:style w:type="paragraph" w:styleId="ListParagraph">
    <w:name w:val="List Paragraph"/>
    <w:basedOn w:val="Normal"/>
    <w:uiPriority w:val="34"/>
    <w:qFormat/>
    <w:rsid w:val="00347B86"/>
    <w:pPr>
      <w:ind w:left="720"/>
      <w:contextualSpacing/>
    </w:pPr>
  </w:style>
  <w:style w:type="character" w:styleId="IntenseEmphasis">
    <w:name w:val="Intense Emphasis"/>
    <w:basedOn w:val="DefaultParagraphFont"/>
    <w:uiPriority w:val="21"/>
    <w:qFormat/>
    <w:rsid w:val="00347B86"/>
    <w:rPr>
      <w:i/>
      <w:iCs/>
      <w:color w:val="0F4761" w:themeColor="accent1" w:themeShade="BF"/>
    </w:rPr>
  </w:style>
  <w:style w:type="paragraph" w:styleId="IntenseQuote">
    <w:name w:val="Intense Quote"/>
    <w:basedOn w:val="Normal"/>
    <w:next w:val="Normal"/>
    <w:link w:val="IntenseQuoteChar"/>
    <w:uiPriority w:val="30"/>
    <w:qFormat/>
    <w:rsid w:val="00347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B86"/>
    <w:rPr>
      <w:i/>
      <w:iCs/>
      <w:color w:val="0F4761" w:themeColor="accent1" w:themeShade="BF"/>
    </w:rPr>
  </w:style>
  <w:style w:type="character" w:styleId="IntenseReference">
    <w:name w:val="Intense Reference"/>
    <w:basedOn w:val="DefaultParagraphFont"/>
    <w:uiPriority w:val="32"/>
    <w:qFormat/>
    <w:rsid w:val="00347B86"/>
    <w:rPr>
      <w:b/>
      <w:bCs/>
      <w:smallCaps/>
      <w:color w:val="0F4761" w:themeColor="accent1" w:themeShade="BF"/>
      <w:spacing w:val="5"/>
    </w:rPr>
  </w:style>
  <w:style w:type="character" w:styleId="Hyperlink">
    <w:name w:val="Hyperlink"/>
    <w:basedOn w:val="DefaultParagraphFont"/>
    <w:uiPriority w:val="99"/>
    <w:unhideWhenUsed/>
    <w:rsid w:val="00347B86"/>
    <w:rPr>
      <w:color w:val="467886" w:themeColor="hyperlink"/>
      <w:u w:val="single"/>
    </w:rPr>
  </w:style>
  <w:style w:type="character" w:styleId="UnresolvedMention">
    <w:name w:val="Unresolved Mention"/>
    <w:basedOn w:val="DefaultParagraphFont"/>
    <w:uiPriority w:val="99"/>
    <w:semiHidden/>
    <w:unhideWhenUsed/>
    <w:rsid w:val="00347B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ingcom.atlassian.net/wiki/x/AYDP3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520</Words>
  <Characters>2656</Characters>
  <Application>Microsoft Office Word</Application>
  <DocSecurity>0</DocSecurity>
  <Lines>59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Drogaieva</dc:creator>
  <cp:keywords/>
  <dc:description/>
  <cp:lastModifiedBy>Kate Drogaieva</cp:lastModifiedBy>
  <cp:revision>1</cp:revision>
  <dcterms:created xsi:type="dcterms:W3CDTF">2026-09-14T16:30:00Z</dcterms:created>
  <dcterms:modified xsi:type="dcterms:W3CDTF">2026-09-14T17:12:00Z</dcterms:modified>
</cp:coreProperties>
</file>