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Generative</w:t>
      </w:r>
      <w:r>
        <w:t xml:space="preserve"> </w:t>
      </w:r>
      <w:r>
        <w:t xml:space="preserve">AI</w:t>
      </w:r>
      <w:r>
        <w:t xml:space="preserve"> </w:t>
      </w:r>
      <w:r>
        <w:t xml:space="preserve">and</w:t>
      </w:r>
      <w:r>
        <w:t xml:space="preserve"> </w:t>
      </w:r>
      <w:r>
        <w:t xml:space="preserve">Cloud-Augmented</w:t>
      </w:r>
      <w:r>
        <w:t xml:space="preserve"> </w:t>
      </w:r>
      <w:r>
        <w:t xml:space="preserve">Biomedical</w:t>
      </w:r>
      <w:r>
        <w:t xml:space="preserve"> </w:t>
      </w:r>
      <w:r>
        <w:t xml:space="preserve">Signal</w:t>
      </w:r>
      <w:r>
        <w:t xml:space="preserve"> </w:t>
      </w:r>
      <w:r>
        <w:t xml:space="preserve">Processing</w:t>
      </w:r>
      <w:r>
        <w:t xml:space="preserve"> </w:t>
      </w:r>
      <w:r>
        <w:t xml:space="preserve">for</w:t>
      </w:r>
      <w:r>
        <w:t xml:space="preserve"> </w:t>
      </w:r>
      <w:r>
        <w:t xml:space="preserve">Remote</w:t>
      </w:r>
      <w:r>
        <w:t xml:space="preserve"> </w:t>
      </w:r>
      <w:r>
        <w:t xml:space="preserve">Diagnostics</w:t>
      </w:r>
      <w:r>
        <w:t xml:space="preserve"> </w:t>
      </w:r>
      <w:r>
        <w:t xml:space="preserve">in</w:t>
      </w:r>
      <w:r>
        <w:t xml:space="preserve"> </w:t>
      </w:r>
      <w:r>
        <w:t xml:space="preserve">Underserved</w:t>
      </w:r>
      <w:r>
        <w:t xml:space="preserve"> </w:t>
      </w:r>
      <w:r>
        <w:t xml:space="preserve">Communities</w:t>
      </w:r>
      <w:r>
        <w:br/>
      </w:r>
      <w:r>
        <w:rPr>
          <w:vertAlign w:val="superscript"/>
        </w:rPr>
        <w:t xml:space="preserve">*</w:t>
      </w:r>
      <w:r>
        <w:t xml:space="preserve">Manuscript</w:t>
      </w:r>
      <w:r>
        <w:t xml:space="preserve"> </w:t>
      </w:r>
      <w:r>
        <w:t xml:space="preserve">submitted</w:t>
      </w:r>
      <w:r>
        <w:t xml:space="preserve"> </w:t>
      </w:r>
      <w:r>
        <w:t xml:space="preserve">to</w:t>
      </w:r>
      <w:r>
        <w:t xml:space="preserve"> </w:t>
      </w:r>
      <w:r>
        <w:t xml:space="preserve">IEEE</w:t>
      </w:r>
      <w:r>
        <w:t xml:space="preserve"> </w:t>
      </w:r>
      <w:r>
        <w:t xml:space="preserve">Transactions</w:t>
      </w:r>
      <w:r>
        <w:t xml:space="preserve"> </w:t>
      </w:r>
      <w:r>
        <w:t xml:space="preserve">on</w:t>
      </w:r>
      <w:r>
        <w:t xml:space="preserve"> </w:t>
      </w:r>
      <w:r>
        <w:t xml:space="preserve">Biomedical</w:t>
      </w:r>
      <w:r>
        <w:t xml:space="preserve"> </w:t>
      </w:r>
      <w:r>
        <w:t xml:space="preserve">Engineering</w:t>
      </w:r>
      <w:r>
        <w:t xml:space="preserve"> </w:t>
      </w:r>
    </w:p>
    <w:p>
      <w:pPr>
        <w:pStyle w:val="Abstract"/>
      </w:pPr>
      <w:r>
        <w:t xml:space="preserve">The</w:t>
      </w:r>
      <w:r>
        <w:t xml:space="preserve"> </w:t>
      </w:r>
      <w:r>
        <w:t xml:space="preserve">integration</w:t>
      </w:r>
      <w:r>
        <w:t xml:space="preserve"> </w:t>
      </w:r>
      <w:r>
        <w:t xml:space="preserve">of</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with</w:t>
      </w:r>
      <w:r>
        <w:t xml:space="preserve"> </w:t>
      </w:r>
      <w:r>
        <w:t xml:space="preserve">biomedical</w:t>
      </w:r>
      <w:r>
        <w:t xml:space="preserve"> </w:t>
      </w:r>
      <w:r>
        <w:t xml:space="preserve">signal</w:t>
      </w:r>
      <w:r>
        <w:t xml:space="preserve"> </w:t>
      </w:r>
      <w:r>
        <w:t xml:space="preserve">processing</w:t>
      </w:r>
      <w:r>
        <w:t xml:space="preserve"> </w:t>
      </w:r>
      <w:r>
        <w:t xml:space="preserve">presents</w:t>
      </w:r>
      <w:r>
        <w:t xml:space="preserve"> </w:t>
      </w:r>
      <w:r>
        <w:t xml:space="preserve">unprecedented</w:t>
      </w:r>
      <w:r>
        <w:t xml:space="preserve"> </w:t>
      </w:r>
      <w:r>
        <w:t xml:space="preserve">opportunities</w:t>
      </w:r>
      <w:r>
        <w:t xml:space="preserve"> </w:t>
      </w:r>
      <w:r>
        <w:t xml:space="preserve">for</w:t>
      </w:r>
      <w:r>
        <w:t xml:space="preserve"> </w:t>
      </w:r>
      <w:r>
        <w:t xml:space="preserve">democratizing</w:t>
      </w:r>
      <w:r>
        <w:t xml:space="preserve"> </w:t>
      </w:r>
      <w:r>
        <w:t xml:space="preserve">healthcare</w:t>
      </w:r>
      <w:r>
        <w:t xml:space="preserve"> </w:t>
      </w:r>
      <w:r>
        <w:t xml:space="preserve">diagnostics</w:t>
      </w:r>
      <w:r>
        <w:t xml:space="preserve"> </w:t>
      </w:r>
      <w:r>
        <w:t xml:space="preserve">in</w:t>
      </w:r>
      <w:r>
        <w:t xml:space="preserve"> </w:t>
      </w:r>
      <w:r>
        <w:t xml:space="preserve">underserved</w:t>
      </w:r>
      <w:r>
        <w:t xml:space="preserve"> </w:t>
      </w:r>
      <w:r>
        <w:t xml:space="preserve">communities.</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comprehensive</w:t>
      </w:r>
      <w:r>
        <w:t xml:space="preserve"> </w:t>
      </w:r>
      <w:r>
        <w:t xml:space="preserve">cloud-augmented</w:t>
      </w:r>
      <w:r>
        <w:t xml:space="preserve"> </w:t>
      </w:r>
      <w:r>
        <w:t xml:space="preserve">pipeline</w:t>
      </w:r>
      <w:r>
        <w:t xml:space="preserve"> </w:t>
      </w:r>
      <w:r>
        <w:t xml:space="preserve">that</w:t>
      </w:r>
      <w:r>
        <w:t xml:space="preserve"> </w:t>
      </w:r>
      <w:r>
        <w:t xml:space="preserve">combines</w:t>
      </w:r>
      <w:r>
        <w:t xml:space="preserve"> </w:t>
      </w:r>
      <w:r>
        <w:t xml:space="preserve">advanced</w:t>
      </w:r>
      <w:r>
        <w:t xml:space="preserve"> </w:t>
      </w:r>
      <w:r>
        <w:t xml:space="preserve">signal</w:t>
      </w:r>
      <w:r>
        <w:t xml:space="preserve"> </w:t>
      </w:r>
      <w:r>
        <w:t xml:space="preserve">processing</w:t>
      </w:r>
      <w:r>
        <w:t xml:space="preserve"> </w:t>
      </w:r>
      <w:r>
        <w:t xml:space="preserve">techniques,</w:t>
      </w:r>
      <w:r>
        <w:t xml:space="preserve"> </w:t>
      </w:r>
      <w:r>
        <w:t xml:space="preserve">deep</w:t>
      </w:r>
      <w:r>
        <w:t xml:space="preserve"> </w:t>
      </w:r>
      <w:r>
        <w:t xml:space="preserve">learning</w:t>
      </w:r>
      <w:r>
        <w:t xml:space="preserve"> </w:t>
      </w:r>
      <w:r>
        <w:t xml:space="preserve">architectures,</w:t>
      </w:r>
      <w:r>
        <w:t xml:space="preserve"> </w:t>
      </w:r>
      <w:r>
        <w:t xml:space="preserve">and</w:t>
      </w:r>
      <w:r>
        <w:t xml:space="preserve"> </w:t>
      </w:r>
      <w:r>
        <w:t xml:space="preserve">generative</w:t>
      </w:r>
      <w:r>
        <w:t xml:space="preserve"> </w:t>
      </w:r>
      <w:r>
        <w:t xml:space="preserve">AI</w:t>
      </w:r>
      <w:r>
        <w:t xml:space="preserve"> </w:t>
      </w:r>
      <w:r>
        <w:t xml:space="preserve">capabilities</w:t>
      </w:r>
      <w:r>
        <w:t xml:space="preserve"> </w:t>
      </w:r>
      <w:r>
        <w:t xml:space="preserve">to</w:t>
      </w:r>
      <w:r>
        <w:t xml:space="preserve"> </w:t>
      </w:r>
      <w:r>
        <w:t xml:space="preserve">enable</w:t>
      </w:r>
      <w:r>
        <w:t xml:space="preserve"> </w:t>
      </w:r>
      <w:r>
        <w:t xml:space="preserve">remote</w:t>
      </w:r>
      <w:r>
        <w:t xml:space="preserve"> </w:t>
      </w:r>
      <w:r>
        <w:t xml:space="preserve">diagnostic</w:t>
      </w:r>
      <w:r>
        <w:t xml:space="preserve"> </w:t>
      </w:r>
      <w:r>
        <w:t xml:space="preserve">capabilities.</w:t>
      </w:r>
      <w:r>
        <w:t xml:space="preserve"> </w:t>
      </w:r>
      <w:r>
        <w:t xml:space="preserve">Our</w:t>
      </w:r>
      <w:r>
        <w:t xml:space="preserve"> </w:t>
      </w:r>
      <w:r>
        <w:t xml:space="preserve">system</w:t>
      </w:r>
      <w:r>
        <w:t xml:space="preserve"> </w:t>
      </w:r>
      <w:r>
        <w:t xml:space="preserve">employs</w:t>
      </w:r>
      <w:r>
        <w:t xml:space="preserve"> </w:t>
      </w:r>
      <w:r>
        <w:t xml:space="preserve">a</w:t>
      </w:r>
      <w:r>
        <w:t xml:space="preserve"> </w:t>
      </w:r>
      <w:r>
        <w:t xml:space="preserve">single-lead</w:t>
      </w:r>
      <w:r>
        <w:t xml:space="preserve"> </w:t>
      </w:r>
      <w:r>
        <w:t xml:space="preserve">selection</w:t>
      </w:r>
      <w:r>
        <w:t xml:space="preserve"> </w:t>
      </w:r>
      <w:r>
        <w:t xml:space="preserve">strategy</w:t>
      </w:r>
      <w:r>
        <w:t xml:space="preserve"> </w:t>
      </w:r>
      <w:r>
        <w:t xml:space="preserve">to</w:t>
      </w:r>
      <w:r>
        <w:t xml:space="preserve"> </w:t>
      </w:r>
      <w:r>
        <w:t xml:space="preserve">process</w:t>
      </w:r>
      <w:r>
        <w:t xml:space="preserve"> </w:t>
      </w:r>
      <w:r>
        <w:t xml:space="preserve">signals</w:t>
      </w:r>
      <w:r>
        <w:t xml:space="preserve"> </w:t>
      </w:r>
      <w:r>
        <w:t xml:space="preserve">from</w:t>
      </w:r>
      <w:r>
        <w:t xml:space="preserve"> </w:t>
      </w:r>
      <w:r>
        <w:t xml:space="preserve">three</w:t>
      </w:r>
      <w:r>
        <w:t xml:space="preserve"> </w:t>
      </w:r>
      <w:r>
        <w:t xml:space="preserve">PhysioNet</w:t>
      </w:r>
      <w:r>
        <w:t xml:space="preserve"> </w:t>
      </w:r>
      <w:r>
        <w:t xml:space="preserve">datasets</w:t>
      </w:r>
      <w:r>
        <w:t xml:space="preserve"> </w:t>
      </w:r>
      <w:r>
        <w:t xml:space="preserve">representing</w:t>
      </w:r>
      <w:r>
        <w:t xml:space="preserve"> </w:t>
      </w:r>
      <w:r>
        <w:t xml:space="preserve">single-label</w:t>
      </w:r>
      <w:r>
        <w:t xml:space="preserve"> </w:t>
      </w:r>
      <w:r>
        <w:t xml:space="preserve">classification</w:t>
      </w:r>
      <w:r>
        <w:t xml:space="preserve"> </w:t>
      </w:r>
      <w:r>
        <w:t xml:space="preserve">tasks:</w:t>
      </w:r>
      <w:r>
        <w:t xml:space="preserve"> </w:t>
      </w:r>
      <w:r>
        <w:t xml:space="preserve">MIT-BIH</w:t>
      </w:r>
      <w:r>
        <w:t xml:space="preserve"> </w:t>
      </w:r>
      <w:r>
        <w:t xml:space="preserve">Arrhythmia</w:t>
      </w:r>
      <w:r>
        <w:t xml:space="preserve"> </w:t>
      </w:r>
      <w:r>
        <w:t xml:space="preserve">Database,</w:t>
      </w:r>
      <w:r>
        <w:t xml:space="preserve"> </w:t>
      </w:r>
      <w:r>
        <w:t xml:space="preserve">Sleep-EDF,</w:t>
      </w:r>
      <w:r>
        <w:t xml:space="preserve"> </w:t>
      </w:r>
      <w:r>
        <w:t xml:space="preserve">and</w:t>
      </w:r>
      <w:r>
        <w:t xml:space="preserve"> </w:t>
      </w:r>
      <w:r>
        <w:t xml:space="preserve">MIMIC-III</w:t>
      </w:r>
      <w:r>
        <w:t xml:space="preserve"> </w:t>
      </w:r>
      <w:r>
        <w:t xml:space="preserve">Waveforms.</w:t>
      </w:r>
      <w:r>
        <w:t xml:space="preserve"> </w:t>
      </w:r>
      <w:r>
        <w:t xml:space="preserve">We</w:t>
      </w:r>
      <w:r>
        <w:t xml:space="preserve"> </w:t>
      </w:r>
      <w:r>
        <w:t xml:space="preserve">utilize</w:t>
      </w:r>
      <w:r>
        <w:t xml:space="preserve"> </w:t>
      </w:r>
      <w:r>
        <w:t xml:space="preserve">Long</w:t>
      </w:r>
      <w:r>
        <w:t xml:space="preserve"> </w:t>
      </w:r>
      <w:r>
        <w:t xml:space="preserve">Short-Term</w:t>
      </w:r>
      <w:r>
        <w:t xml:space="preserve"> </w:t>
      </w:r>
      <w:r>
        <w:t xml:space="preserve">Memory</w:t>
      </w:r>
      <w:r>
        <w:t xml:space="preserve"> </w:t>
      </w:r>
      <w:r>
        <w:t xml:space="preserve">(LSTM)</w:t>
      </w:r>
      <w:r>
        <w:t xml:space="preserve"> </w:t>
      </w:r>
      <w:r>
        <w:t xml:space="preserve">networks</w:t>
      </w:r>
      <w:r>
        <w:t xml:space="preserve"> </w:t>
      </w:r>
      <w:r>
        <w:t xml:space="preserve">for</w:t>
      </w:r>
      <w:r>
        <w:t xml:space="preserve"> </w:t>
      </w:r>
      <w:r>
        <w:t xml:space="preserve">temporal</w:t>
      </w:r>
      <w:r>
        <w:t xml:space="preserve"> </w:t>
      </w:r>
      <w:r>
        <w:t xml:space="preserve">pattern</w:t>
      </w:r>
      <w:r>
        <w:t xml:space="preserve"> </w:t>
      </w:r>
      <w:r>
        <w:t xml:space="preserve">recognition</w:t>
      </w:r>
      <w:r>
        <w:t xml:space="preserve"> </w:t>
      </w:r>
      <w:r>
        <w:t xml:space="preserve">and</w:t>
      </w:r>
      <w:r>
        <w:t xml:space="preserve"> </w:t>
      </w:r>
      <w:r>
        <w:t xml:space="preserve">GPT-4</w:t>
      </w:r>
      <w:r>
        <w:t xml:space="preserve"> </w:t>
      </w:r>
      <w:r>
        <w:t xml:space="preserve">for</w:t>
      </w:r>
      <w:r>
        <w:t xml:space="preserve"> </w:t>
      </w:r>
      <w:r>
        <w:t xml:space="preserve">natural</w:t>
      </w:r>
      <w:r>
        <w:t xml:space="preserve"> </w:t>
      </w:r>
      <w:r>
        <w:t xml:space="preserve">language</w:t>
      </w:r>
      <w:r>
        <w:t xml:space="preserve"> </w:t>
      </w:r>
      <w:r>
        <w:t xml:space="preserve">interpretation</w:t>
      </w:r>
      <w:r>
        <w:t xml:space="preserve"> </w:t>
      </w:r>
      <w:r>
        <w:t xml:space="preserve">of</w:t>
      </w:r>
      <w:r>
        <w:t xml:space="preserve"> </w:t>
      </w:r>
      <w:r>
        <w:t xml:space="preserve">clinical</w:t>
      </w:r>
      <w:r>
        <w:t xml:space="preserve"> </w:t>
      </w:r>
      <w:r>
        <w:t xml:space="preserve">findings.</w:t>
      </w:r>
      <w:r>
        <w:t xml:space="preserve"> </w:t>
      </w:r>
      <w:r>
        <w:t xml:space="preserve">The</w:t>
      </w:r>
      <w:r>
        <w:t xml:space="preserve"> </w:t>
      </w:r>
      <w:r>
        <w:t xml:space="preserve">proposed</w:t>
      </w:r>
      <w:r>
        <w:t xml:space="preserve"> </w:t>
      </w:r>
      <w:r>
        <w:t xml:space="preserve">architecture</w:t>
      </w:r>
      <w:r>
        <w:t xml:space="preserve"> </w:t>
      </w:r>
      <w:r>
        <w:t xml:space="preserve">features</w:t>
      </w:r>
      <w:r>
        <w:t xml:space="preserve"> </w:t>
      </w:r>
      <w:r>
        <w:t xml:space="preserve">a</w:t>
      </w:r>
      <w:r>
        <w:t xml:space="preserve"> </w:t>
      </w:r>
      <w:r>
        <w:t xml:space="preserve">modular</w:t>
      </w:r>
      <w:r>
        <w:t xml:space="preserve"> </w:t>
      </w:r>
      <w:r>
        <w:t xml:space="preserve">design</w:t>
      </w:r>
      <w:r>
        <w:t xml:space="preserve"> </w:t>
      </w:r>
      <w:r>
        <w:t xml:space="preserve">with</w:t>
      </w:r>
      <w:r>
        <w:t xml:space="preserve"> </w:t>
      </w:r>
      <w:r>
        <w:t xml:space="preserve">three</w:t>
      </w:r>
      <w:r>
        <w:t xml:space="preserve"> </w:t>
      </w:r>
      <w:r>
        <w:t xml:space="preserve">core</w:t>
      </w:r>
      <w:r>
        <w:t xml:space="preserve"> </w:t>
      </w:r>
      <w:r>
        <w:t xml:space="preserve">components:</w:t>
      </w:r>
      <w:r>
        <w:t xml:space="preserve"> </w:t>
      </w:r>
      <w:r>
        <w:t xml:space="preserve">a</w:t>
      </w:r>
      <w:r>
        <w:t xml:space="preserve"> </w:t>
      </w:r>
      <w:r>
        <w:t xml:space="preserve">data</w:t>
      </w:r>
      <w:r>
        <w:t xml:space="preserve"> </w:t>
      </w:r>
      <w:r>
        <w:t xml:space="preserve">preprocessing</w:t>
      </w:r>
      <w:r>
        <w:t xml:space="preserve"> </w:t>
      </w:r>
      <w:r>
        <w:t xml:space="preserve">module</w:t>
      </w:r>
      <w:r>
        <w:t xml:space="preserve"> </w:t>
      </w:r>
      <w:r>
        <w:t xml:space="preserve">utilizing</w:t>
      </w:r>
      <w:r>
        <w:t xml:space="preserve"> </w:t>
      </w:r>
      <w:r>
        <w:t xml:space="preserve">bandpass</w:t>
      </w:r>
      <w:r>
        <w:t xml:space="preserve"> </w:t>
      </w:r>
      <w:r>
        <w:t xml:space="preserve">filtering,</w:t>
      </w:r>
      <w:r>
        <w:t xml:space="preserve"> </w:t>
      </w:r>
      <w:r>
        <w:t xml:space="preserve">lead</w:t>
      </w:r>
      <w:r>
        <w:t xml:space="preserve"> </w:t>
      </w:r>
      <w:r>
        <w:t xml:space="preserve">selection,</w:t>
      </w:r>
      <w:r>
        <w:t xml:space="preserve"> </w:t>
      </w:r>
      <w:r>
        <w:t xml:space="preserve">and</w:t>
      </w:r>
      <w:r>
        <w:t xml:space="preserve"> </w:t>
      </w:r>
      <w:r>
        <w:t xml:space="preserve">normalization</w:t>
      </w:r>
      <w:r>
        <w:t xml:space="preserve"> </w:t>
      </w:r>
      <w:r>
        <w:t xml:space="preserve">techniques;</w:t>
      </w:r>
      <w:r>
        <w:t xml:space="preserve"> </w:t>
      </w:r>
      <w:r>
        <w:t xml:space="preserve">a</w:t>
      </w:r>
      <w:r>
        <w:t xml:space="preserve"> </w:t>
      </w:r>
      <w:r>
        <w:t xml:space="preserve">deep</w:t>
      </w:r>
      <w:r>
        <w:t xml:space="preserve"> </w:t>
      </w:r>
      <w:r>
        <w:t xml:space="preserve">learning</w:t>
      </w:r>
      <w:r>
        <w:t xml:space="preserve"> </w:t>
      </w:r>
      <w:r>
        <w:t xml:space="preserve">training</w:t>
      </w:r>
      <w:r>
        <w:t xml:space="preserve"> </w:t>
      </w:r>
      <w:r>
        <w:t xml:space="preserve">pipeline</w:t>
      </w:r>
      <w:r>
        <w:t xml:space="preserve"> </w:t>
      </w:r>
      <w:r>
        <w:t xml:space="preserve">with</w:t>
      </w:r>
      <w:r>
        <w:t xml:space="preserve"> </w:t>
      </w:r>
      <w:r>
        <w:t xml:space="preserve">patient-level</w:t>
      </w:r>
      <w:r>
        <w:t xml:space="preserve"> </w:t>
      </w:r>
      <w:r>
        <w:t xml:space="preserve">data</w:t>
      </w:r>
      <w:r>
        <w:t xml:space="preserve"> </w:t>
      </w:r>
      <w:r>
        <w:t xml:space="preserve">splitting</w:t>
      </w:r>
      <w:r>
        <w:t xml:space="preserve"> </w:t>
      </w:r>
      <w:r>
        <w:t xml:space="preserve">to</w:t>
      </w:r>
      <w:r>
        <w:t xml:space="preserve"> </w:t>
      </w:r>
      <w:r>
        <w:t xml:space="preserve">prevent</w:t>
      </w:r>
      <w:r>
        <w:t xml:space="preserve"> </w:t>
      </w:r>
      <w:r>
        <w:t xml:space="preserve">leakage;</w:t>
      </w:r>
      <w:r>
        <w:t xml:space="preserve"> </w:t>
      </w:r>
      <w:r>
        <w:t xml:space="preserve">and</w:t>
      </w:r>
      <w:r>
        <w:t xml:space="preserve"> </w:t>
      </w:r>
      <w:r>
        <w:t xml:space="preserve">an</w:t>
      </w:r>
      <w:r>
        <w:t xml:space="preserve"> </w:t>
      </w:r>
      <w:r>
        <w:t xml:space="preserve">inference</w:t>
      </w:r>
      <w:r>
        <w:t xml:space="preserve"> </w:t>
      </w:r>
      <w:r>
        <w:t xml:space="preserve">system</w:t>
      </w:r>
      <w:r>
        <w:t xml:space="preserve"> </w:t>
      </w:r>
      <w:r>
        <w:t xml:space="preserve">augmented</w:t>
      </w:r>
      <w:r>
        <w:t xml:space="preserve"> </w:t>
      </w:r>
      <w:r>
        <w:t xml:space="preserve">with</w:t>
      </w:r>
      <w:r>
        <w:t xml:space="preserve"> </w:t>
      </w:r>
      <w:r>
        <w:t xml:space="preserve">generative</w:t>
      </w:r>
      <w:r>
        <w:t xml:space="preserve"> </w:t>
      </w:r>
      <w:r>
        <w:t xml:space="preserve">AI</w:t>
      </w:r>
      <w:r>
        <w:t xml:space="preserve"> </w:t>
      </w:r>
      <w:r>
        <w:t xml:space="preserve">for</w:t>
      </w:r>
      <w:r>
        <w:t xml:space="preserve"> </w:t>
      </w:r>
      <w:r>
        <w:t xml:space="preserve">clinical</w:t>
      </w:r>
      <w:r>
        <w:t xml:space="preserve"> </w:t>
      </w:r>
      <w:r>
        <w:t xml:space="preserve">interpretation.</w:t>
      </w:r>
      <w:r>
        <w:t xml:space="preserve"> </w:t>
      </w:r>
      <w:r>
        <w:t xml:space="preserve">Experimental</w:t>
      </w:r>
      <w:r>
        <w:t xml:space="preserve"> </w:t>
      </w:r>
      <w:r>
        <w:t xml:space="preserve">results</w:t>
      </w:r>
      <w:r>
        <w:t xml:space="preserve"> </w:t>
      </w:r>
      <w:r>
        <w:t xml:space="preserve">demonstrate</w:t>
      </w:r>
      <w:r>
        <w:t xml:space="preserve"> </w:t>
      </w:r>
      <w:r>
        <w:t xml:space="preserve">robust</w:t>
      </w:r>
      <w:r>
        <w:t xml:space="preserve"> </w:t>
      </w:r>
      <w:r>
        <w:t xml:space="preserve">performance</w:t>
      </w:r>
      <w:r>
        <w:t xml:space="preserve"> </w:t>
      </w:r>
      <w:r>
        <w:t xml:space="preserve">across</w:t>
      </w:r>
      <w:r>
        <w:t xml:space="preserve"> </w:t>
      </w:r>
      <w:r>
        <w:t xml:space="preserve">the</w:t>
      </w:r>
      <w:r>
        <w:t xml:space="preserve"> </w:t>
      </w:r>
      <w:r>
        <w:t xml:space="preserve">three</w:t>
      </w:r>
      <w:r>
        <w:t xml:space="preserve"> </w:t>
      </w:r>
      <w:r>
        <w:t xml:space="preserve">benchmark</w:t>
      </w:r>
      <w:r>
        <w:t xml:space="preserve"> </w:t>
      </w:r>
      <w:r>
        <w:t xml:space="preserve">datasets,</w:t>
      </w:r>
      <w:r>
        <w:t xml:space="preserve"> </w:t>
      </w:r>
      <w:r>
        <w:t xml:space="preserve">achieving</w:t>
      </w:r>
      <w:r>
        <w:t xml:space="preserve"> </w:t>
      </w:r>
      <w:r>
        <w:t xml:space="preserve">classification</w:t>
      </w:r>
      <w:r>
        <w:t xml:space="preserve"> </w:t>
      </w:r>
      <w:r>
        <w:t xml:space="preserve">accuracies</w:t>
      </w:r>
      <w:r>
        <w:t xml:space="preserve"> </w:t>
      </w:r>
      <w:r>
        <w:t xml:space="preserve">of</w:t>
      </w:r>
      <w:r>
        <w:t xml:space="preserve"> </w:t>
      </w:r>
      <w:r>
        <w:t xml:space="preserve">92.3%</w:t>
      </w:r>
      <w:r>
        <w:t xml:space="preserve"> </w:t>
      </w:r>
      <w:r>
        <w:t xml:space="preserve">for</w:t>
      </w:r>
      <w:r>
        <w:t xml:space="preserve"> </w:t>
      </w:r>
      <w:r>
        <w:t xml:space="preserve">arrhythmia</w:t>
      </w:r>
      <w:r>
        <w:t xml:space="preserve"> </w:t>
      </w:r>
      <w:r>
        <w:t xml:space="preserve">detection,</w:t>
      </w:r>
      <w:r>
        <w:t xml:space="preserve"> </w:t>
      </w:r>
      <w:r>
        <w:t xml:space="preserve">87.3%</w:t>
      </w:r>
      <w:r>
        <w:t xml:space="preserve"> </w:t>
      </w:r>
      <w:r>
        <w:t xml:space="preserve">for</w:t>
      </w:r>
      <w:r>
        <w:t xml:space="preserve"> </w:t>
      </w:r>
      <w:r>
        <w:t xml:space="preserve">sleep</w:t>
      </w:r>
      <w:r>
        <w:t xml:space="preserve"> </w:t>
      </w:r>
      <w:r>
        <w:t xml:space="preserve">stage</w:t>
      </w:r>
      <w:r>
        <w:t xml:space="preserve"> </w:t>
      </w:r>
      <w:r>
        <w:t xml:space="preserve">classification,</w:t>
      </w:r>
      <w:r>
        <w:t xml:space="preserve"> </w:t>
      </w:r>
      <w:r>
        <w:t xml:space="preserve">and</w:t>
      </w:r>
      <w:r>
        <w:t xml:space="preserve"> </w:t>
      </w:r>
      <w:r>
        <w:t xml:space="preserve">89.5%</w:t>
      </w:r>
      <w:r>
        <w:t xml:space="preserve"> </w:t>
      </w:r>
      <w:r>
        <w:t xml:space="preserve">for</w:t>
      </w:r>
      <w:r>
        <w:t xml:space="preserve"> </w:t>
      </w:r>
      <w:r>
        <w:t xml:space="preserve">ICU</w:t>
      </w:r>
      <w:r>
        <w:t xml:space="preserve"> </w:t>
      </w:r>
      <w:r>
        <w:t xml:space="preserve">waveform</w:t>
      </w:r>
      <w:r>
        <w:t xml:space="preserve"> </w:t>
      </w:r>
      <w:r>
        <w:t xml:space="preserve">analysis.</w:t>
      </w:r>
      <w:r>
        <w:t xml:space="preserve"> </w:t>
      </w:r>
      <w:r>
        <w:t xml:space="preserve">The</w:t>
      </w:r>
      <w:r>
        <w:t xml:space="preserve"> </w:t>
      </w:r>
      <w:r>
        <w:t xml:space="preserve">single-lead,</w:t>
      </w:r>
      <w:r>
        <w:t xml:space="preserve"> </w:t>
      </w:r>
      <w:r>
        <w:t xml:space="preserve">single-label</w:t>
      </w:r>
      <w:r>
        <w:t xml:space="preserve"> </w:t>
      </w:r>
      <w:r>
        <w:t xml:space="preserve">formulation</w:t>
      </w:r>
      <w:r>
        <w:t xml:space="preserve"> </w:t>
      </w:r>
      <w:r>
        <w:t xml:space="preserve">ensures</w:t>
      </w:r>
      <w:r>
        <w:t xml:space="preserve"> </w:t>
      </w:r>
      <w:r>
        <w:t xml:space="preserve">compatibility</w:t>
      </w:r>
      <w:r>
        <w:t xml:space="preserve"> </w:t>
      </w:r>
      <w:r>
        <w:t xml:space="preserve">with</w:t>
      </w:r>
      <w:r>
        <w:t xml:space="preserve"> </w:t>
      </w:r>
      <w:r>
        <w:t xml:space="preserve">point-of-care</w:t>
      </w:r>
      <w:r>
        <w:t xml:space="preserve"> </w:t>
      </w:r>
      <w:r>
        <w:t xml:space="preserve">devices</w:t>
      </w:r>
      <w:r>
        <w:t xml:space="preserve"> </w:t>
      </w:r>
      <w:r>
        <w:t xml:space="preserve">common</w:t>
      </w:r>
      <w:r>
        <w:t xml:space="preserve"> </w:t>
      </w:r>
      <w:r>
        <w:t xml:space="preserve">in</w:t>
      </w:r>
      <w:r>
        <w:t xml:space="preserve"> </w:t>
      </w:r>
      <w:r>
        <w:t xml:space="preserve">underserved</w:t>
      </w:r>
      <w:r>
        <w:t xml:space="preserve"> </w:t>
      </w:r>
      <w:r>
        <w:t xml:space="preserve">regions.</w:t>
      </w:r>
      <w:r>
        <w:t xml:space="preserve"> </w:t>
      </w:r>
      <w:r>
        <w:t xml:space="preserve">The</w:t>
      </w:r>
      <w:r>
        <w:t xml:space="preserve"> </w:t>
      </w:r>
      <w:r>
        <w:t xml:space="preserve">system’s</w:t>
      </w:r>
      <w:r>
        <w:t xml:space="preserve"> </w:t>
      </w:r>
      <w:r>
        <w:t xml:space="preserve">REST</w:t>
      </w:r>
      <w:r>
        <w:t xml:space="preserve"> </w:t>
      </w:r>
      <w:r>
        <w:t xml:space="preserve">API</w:t>
      </w:r>
      <w:r>
        <w:t xml:space="preserve"> </w:t>
      </w:r>
      <w:r>
        <w:t xml:space="preserve">interface</w:t>
      </w:r>
      <w:r>
        <w:t xml:space="preserve"> </w:t>
      </w:r>
      <w:r>
        <w:t xml:space="preserve">enables</w:t>
      </w:r>
      <w:r>
        <w:t xml:space="preserve"> </w:t>
      </w:r>
      <w:r>
        <w:t xml:space="preserve">seamless</w:t>
      </w:r>
      <w:r>
        <w:t xml:space="preserve"> </w:t>
      </w:r>
      <w:r>
        <w:t xml:space="preserve">integration</w:t>
      </w:r>
      <w:r>
        <w:t xml:space="preserve"> </w:t>
      </w:r>
      <w:r>
        <w:t xml:space="preserve">with</w:t>
      </w:r>
      <w:r>
        <w:t xml:space="preserve"> </w:t>
      </w:r>
      <w:r>
        <w:t xml:space="preserve">existing</w:t>
      </w:r>
      <w:r>
        <w:t xml:space="preserve"> </w:t>
      </w:r>
      <w:r>
        <w:t xml:space="preserve">telemedicine</w:t>
      </w:r>
      <w:r>
        <w:t xml:space="preserve"> </w:t>
      </w:r>
      <w:r>
        <w:t xml:space="preserve">infrastructure,</w:t>
      </w:r>
      <w:r>
        <w:t xml:space="preserve"> </w:t>
      </w:r>
      <w:r>
        <w:t xml:space="preserve">while</w:t>
      </w:r>
      <w:r>
        <w:t xml:space="preserve"> </w:t>
      </w:r>
      <w:r>
        <w:t xml:space="preserve">the</w:t>
      </w:r>
      <w:r>
        <w:t xml:space="preserve"> </w:t>
      </w:r>
      <w:r>
        <w:t xml:space="preserve">GPT-4-powered</w:t>
      </w:r>
      <w:r>
        <w:t xml:space="preserve"> </w:t>
      </w:r>
      <w:r>
        <w:t xml:space="preserve">interpretation</w:t>
      </w:r>
      <w:r>
        <w:t xml:space="preserve"> </w:t>
      </w:r>
      <w:r>
        <w:t xml:space="preserve">module</w:t>
      </w:r>
      <w:r>
        <w:t xml:space="preserve"> </w:t>
      </w:r>
      <w:r>
        <w:t xml:space="preserve">provides</w:t>
      </w:r>
      <w:r>
        <w:t xml:space="preserve"> </w:t>
      </w:r>
      <w:r>
        <w:t xml:space="preserve">accessible</w:t>
      </w:r>
      <w:r>
        <w:t xml:space="preserve"> </w:t>
      </w:r>
      <w:r>
        <w:t xml:space="preserve">explanations</w:t>
      </w:r>
      <w:r>
        <w:t xml:space="preserve"> </w:t>
      </w:r>
      <w:r>
        <w:t xml:space="preserve">suitable</w:t>
      </w:r>
      <w:r>
        <w:t xml:space="preserve"> </w:t>
      </w:r>
      <w:r>
        <w:t xml:space="preserve">for</w:t>
      </w:r>
      <w:r>
        <w:t xml:space="preserve"> </w:t>
      </w:r>
      <w:r>
        <w:t xml:space="preserve">non-specialist</w:t>
      </w:r>
      <w:r>
        <w:t xml:space="preserve"> </w:t>
      </w:r>
      <w:r>
        <w:t xml:space="preserve">healthcare</w:t>
      </w:r>
      <w:r>
        <w:t xml:space="preserve"> </w:t>
      </w:r>
      <w:r>
        <w:t xml:space="preserve">workers.</w:t>
      </w:r>
      <w:r>
        <w:t xml:space="preserve"> </w:t>
      </w:r>
      <w:r>
        <w:t xml:space="preserve">This</w:t>
      </w:r>
      <w:r>
        <w:t xml:space="preserve"> </w:t>
      </w:r>
      <w:r>
        <w:t xml:space="preserve">work</w:t>
      </w:r>
      <w:r>
        <w:t xml:space="preserve"> </w:t>
      </w:r>
      <w:r>
        <w:t xml:space="preserve">contributes</w:t>
      </w:r>
      <w:r>
        <w:t xml:space="preserve"> </w:t>
      </w:r>
      <w:r>
        <w:t xml:space="preserve">to</w:t>
      </w:r>
      <w:r>
        <w:t xml:space="preserve"> </w:t>
      </w:r>
      <w:r>
        <w:t xml:space="preserve">the</w:t>
      </w:r>
      <w:r>
        <w:t xml:space="preserve"> </w:t>
      </w:r>
      <w:r>
        <w:t xml:space="preserve">growing</w:t>
      </w:r>
      <w:r>
        <w:t xml:space="preserve"> </w:t>
      </w:r>
      <w:r>
        <w:t xml:space="preserve">field</w:t>
      </w:r>
      <w:r>
        <w:t xml:space="preserve"> </w:t>
      </w:r>
      <w:r>
        <w:t xml:space="preserve">of</w:t>
      </w:r>
      <w:r>
        <w:t xml:space="preserve"> </w:t>
      </w:r>
      <w:r>
        <w:t xml:space="preserve">AI-assisted</w:t>
      </w:r>
      <w:r>
        <w:t xml:space="preserve"> </w:t>
      </w:r>
      <w:r>
        <w:t xml:space="preserve">diagnostics</w:t>
      </w:r>
      <w:r>
        <w:t xml:space="preserve"> </w:t>
      </w:r>
      <w:r>
        <w:t xml:space="preserve">by</w:t>
      </w:r>
      <w:r>
        <w:t xml:space="preserve"> </w:t>
      </w:r>
      <w:r>
        <w:t xml:space="preserve">providing</w:t>
      </w:r>
      <w:r>
        <w:t xml:space="preserve"> </w:t>
      </w:r>
      <w:r>
        <w:t xml:space="preserve">an</w:t>
      </w:r>
      <w:r>
        <w:t xml:space="preserve"> </w:t>
      </w:r>
      <w:r>
        <w:t xml:space="preserve">open-source,</w:t>
      </w:r>
      <w:r>
        <w:t xml:space="preserve"> </w:t>
      </w:r>
      <w:r>
        <w:t xml:space="preserve">scalable</w:t>
      </w:r>
      <w:r>
        <w:t xml:space="preserve"> </w:t>
      </w:r>
      <w:r>
        <w:t xml:space="preserve">solution</w:t>
      </w:r>
      <w:r>
        <w:t xml:space="preserve"> </w:t>
      </w:r>
      <w:r>
        <w:t xml:space="preserve">specifically</w:t>
      </w:r>
      <w:r>
        <w:t xml:space="preserve"> </w:t>
      </w:r>
      <w:r>
        <w:t xml:space="preserve">designed</w:t>
      </w:r>
      <w:r>
        <w:t xml:space="preserve"> </w:t>
      </w:r>
      <w:r>
        <w:t xml:space="preserve">to</w:t>
      </w:r>
      <w:r>
        <w:t xml:space="preserve"> </w:t>
      </w:r>
      <w:r>
        <w:t xml:space="preserve">address</w:t>
      </w:r>
      <w:r>
        <w:t xml:space="preserve"> </w:t>
      </w:r>
      <w:r>
        <w:t xml:space="preserve">healthcare</w:t>
      </w:r>
      <w:r>
        <w:t xml:space="preserve"> </w:t>
      </w:r>
      <w:r>
        <w:t xml:space="preserve">disparities</w:t>
      </w:r>
      <w:r>
        <w:t xml:space="preserve"> </w:t>
      </w:r>
      <w:r>
        <w:t xml:space="preserve">in</w:t>
      </w:r>
      <w:r>
        <w:t xml:space="preserve"> </w:t>
      </w:r>
      <w:r>
        <w:t xml:space="preserve">resource-constrained</w:t>
      </w:r>
      <w:r>
        <w:t xml:space="preserve"> </w:t>
      </w:r>
      <w:r>
        <w:t xml:space="preserve">environments.</w:t>
      </w:r>
    </w:p>
    <w:p>
      <w:pPr>
        <w:pStyle w:val="FirstParagraph"/>
      </w:pPr>
      <w:r>
        <w:t xml:space="preserve">Large Language Models, Biomedical Signal Processing, ECG Analysis, EEG Classification, Deep Learning, Remote Diagnostics, Healthcare AI, LSTM Networks, Generative AI, Telemedicine</w:t>
      </w:r>
    </w:p>
    <w:bookmarkStart w:id="22" w:name="introduction"/>
    <w:p>
      <w:pPr>
        <w:pStyle w:val="Heading1"/>
      </w:pPr>
      <w:r>
        <w:t xml:space="preserve">Introduction</w:t>
      </w:r>
    </w:p>
    <w:p>
      <w:pPr>
        <w:pStyle w:val="FirstParagraph"/>
      </w:pPr>
      <w:r>
        <w:t xml:space="preserve">global healthcare landscape faces persistent challenges in delivering quality diagnostic services to underserved populations, particularly in remote and resource-constrained regions</w:t>
      </w:r>
      <w:r>
        <w:t xml:space="preserve"> </w:t>
      </w:r>
      <w:r>
        <w:t xml:space="preserve">. According to the World Health Organization, approximately 3.8 billion people lack access to essential healthcare services, with diagnostic capabilities representing a critical gap in the care continuum</w:t>
      </w:r>
      <w:r>
        <w:t xml:space="preserve"> </w:t>
      </w:r>
      <w:r>
        <w:t xml:space="preserve">. Recent advances in artificial intelligence, particularly in deep learning and natural language processing, offer transformative potential for addressing these disparities through intelligent automation and remote diagnostic capabilities.</w:t>
      </w:r>
    </w:p>
    <w:p>
      <w:pPr>
        <w:pStyle w:val="BodyText"/>
      </w:pPr>
      <w:r>
        <w:t xml:space="preserve">Biomedical signal processing, encompassing electrocardiogram (ECG), electroencephalogram (EEG), and other physiological measurements, forms the cornerstone of modern diagnostic medicine. Traditional approaches to signal analysis require specialized expertise and sophisticated equipment, limiting their deployment in resource-constrained settings. The emergence of Large Language Models (LLMs) and cloud computing infrastructure presents an opportunity to democratize access to advanced diagnostic capabilities through intelligent automation and natural language interfaces.</w:t>
      </w:r>
    </w:p>
    <w:p>
      <w:pPr>
        <w:pStyle w:val="BodyText"/>
      </w:pPr>
      <w:r>
        <w:t xml:space="preserve">This paper introduces a comprehensive pipeline that integrates state-of-the-art signal processing techniques with generative AI capabilities to enable remote diagnostic services. Our system addresses three fundamental challenges in healthcare delivery: (1) the scarcity of specialized medical expertise in underserved regions, (2) the complexity of interpreting biomedical signals without extensive training, and (3) the need for scalable, cost-effective diagnostic solutions compatible with existing telemedicine infrastructure.</w:t>
      </w:r>
    </w:p>
    <w:bookmarkStart w:id="20" w:name="motivation-and-problem-statement"/>
    <w:p>
      <w:pPr>
        <w:pStyle w:val="Heading2"/>
      </w:pPr>
      <w:r>
        <w:t xml:space="preserve">Motivation and Problem Statement</w:t>
      </w:r>
    </w:p>
    <w:p>
      <w:pPr>
        <w:pStyle w:val="FirstParagraph"/>
      </w:pPr>
      <w:r>
        <w:t xml:space="preserve">The interpretation of biomedical signals requires years of specialized training, creating a significant bottleneck in healthcare delivery. In many developing regions, the ratio of cardiologists to population exceeds 1:100,000, rendering timely diagnosis of cardiovascular conditions virtually impossible for vast populations</w:t>
      </w:r>
      <w:r>
        <w:t xml:space="preserve"> </w:t>
      </w:r>
      <w:r>
        <w:t xml:space="preserve">. Similarly, neurological disorders often go undiagnosed due to the absence of trained electroencephalographers and sophisticated analysis equipment.</w:t>
      </w:r>
    </w:p>
    <w:p>
      <w:pPr>
        <w:pStyle w:val="BodyText"/>
      </w:pPr>
      <w:r>
        <w:t xml:space="preserve">Existing automated diagnostic systems typically focus on narrow applications, lack interpretability, or require substantial computational resources incompatible with deployment in resource-constrained environments. Furthermore, the output of these systems often consists of technical classifications unintelligible to non-specialist healthcare workers, limiting their practical utility in primary care settings.</w:t>
      </w:r>
    </w:p>
    <w:bookmarkEnd w:id="20"/>
    <w:bookmarkStart w:id="21" w:name="contributions"/>
    <w:p>
      <w:pPr>
        <w:pStyle w:val="Heading2"/>
      </w:pPr>
      <w:r>
        <w:t xml:space="preserve">Contributions</w:t>
      </w:r>
    </w:p>
    <w:p>
      <w:pPr>
        <w:pStyle w:val="FirstParagraph"/>
      </w:pPr>
      <w:r>
        <w:t xml:space="preserve">This work makes the following key contributions to the field of AI-assisted diagnostics:</w:t>
      </w:r>
    </w:p>
    <w:p>
      <w:pPr>
        <w:numPr>
          <w:ilvl w:val="0"/>
          <w:numId w:val="1001"/>
        </w:numPr>
      </w:pPr>
      <w:r>
        <w:t xml:space="preserve">Development of an end-to-end pipeline integrating signal processing, deep learning, and generative AI for comprehensive biomedical signal analysis</w:t>
      </w:r>
    </w:p>
    <w:p>
      <w:pPr>
        <w:numPr>
          <w:ilvl w:val="0"/>
          <w:numId w:val="1001"/>
        </w:numPr>
      </w:pPr>
      <w:r>
        <w:t xml:space="preserve">Implementation of a single-lead selection strategy that ensures consistent input dimensionality across datasets and aligns with point-of-care devices used in resource-constrained settings</w:t>
      </w:r>
    </w:p>
    <w:p>
      <w:pPr>
        <w:numPr>
          <w:ilvl w:val="0"/>
          <w:numId w:val="1001"/>
        </w:numPr>
      </w:pPr>
      <w:r>
        <w:t xml:space="preserve">Patient-level data splitting methodology to prevent data leakage and ensure true generalization performance assessment</w:t>
      </w:r>
    </w:p>
    <w:p>
      <w:pPr>
        <w:numPr>
          <w:ilvl w:val="0"/>
          <w:numId w:val="1001"/>
        </w:numPr>
      </w:pPr>
      <w:r>
        <w:t xml:space="preserve">Integration of GPT-4 for natural language generation, providing accessible clinical interpretations suitable for non-specialist healthcare workers</w:t>
      </w:r>
    </w:p>
    <w:p>
      <w:pPr>
        <w:numPr>
          <w:ilvl w:val="0"/>
          <w:numId w:val="1001"/>
        </w:numPr>
      </w:pPr>
      <w:r>
        <w:t xml:space="preserve">Validation across three benchmark single-label datasets from PhysioNet (MIT-BIH, Sleep-EDF, MIMIC-III), demonstrating robust performance with clear methodological transparency</w:t>
      </w:r>
    </w:p>
    <w:p>
      <w:pPr>
        <w:numPr>
          <w:ilvl w:val="0"/>
          <w:numId w:val="1001"/>
        </w:numPr>
      </w:pPr>
      <w:r>
        <w:t xml:space="preserve">Open-source implementation with REST API interface, facilitating integration with existing telemedicine platforms</w:t>
      </w:r>
    </w:p>
    <w:bookmarkEnd w:id="21"/>
    <w:bookmarkEnd w:id="22"/>
    <w:bookmarkStart w:id="27" w:name="related-work"/>
    <w:p>
      <w:pPr>
        <w:pStyle w:val="Heading1"/>
      </w:pPr>
      <w:r>
        <w:t xml:space="preserve">Related Work</w:t>
      </w:r>
    </w:p>
    <w:bookmarkStart w:id="23" w:name="traditional-signal-processing-approaches"/>
    <w:p>
      <w:pPr>
        <w:pStyle w:val="Heading2"/>
      </w:pPr>
      <w:r>
        <w:t xml:space="preserve">Traditional Signal Processing Approaches</w:t>
      </w:r>
    </w:p>
    <w:p>
      <w:pPr>
        <w:pStyle w:val="FirstParagraph"/>
      </w:pPr>
      <w:r>
        <w:t xml:space="preserve">Classical approaches to biomedical signal analysis rely on feature extraction techniques such as wavelet transforms, Fourier analysis, and statistical measures</w:t>
      </w:r>
      <w:r>
        <w:t xml:space="preserve"> </w:t>
      </w:r>
      <w:r>
        <w:t xml:space="preserve">. Pan and Tompkins introduced the seminal QRS detection algorithm for ECG analysis, establishing the foundation for automated arrhythmia detection</w:t>
      </w:r>
      <w:r>
        <w:t xml:space="preserve"> </w:t>
      </w:r>
      <w:r>
        <w:t xml:space="preserve">. However, these methods often struggle with noise artifacts and require careful parameter tuning for different signal characteristics.</w:t>
      </w:r>
    </w:p>
    <w:p>
      <w:pPr>
        <w:pStyle w:val="BodyText"/>
      </w:pPr>
      <w:r>
        <w:t xml:space="preserve">In the domain of EEG analysis, spectral analysis techniques have been widely employed for sleep stage classification and seizure detection</w:t>
      </w:r>
      <w:r>
        <w:t xml:space="preserve"> </w:t>
      </w:r>
      <w:r>
        <w:t xml:space="preserve">. Rechtschaffen and Kales established the gold standard for sleep stage scoring, though manual interpretation remains time-intensive and subject to inter-rater variability</w:t>
      </w:r>
      <w:r>
        <w:t xml:space="preserve"> </w:t>
      </w:r>
      <w:r>
        <w:t xml:space="preserve">.</w:t>
      </w:r>
    </w:p>
    <w:bookmarkEnd w:id="23"/>
    <w:bookmarkStart w:id="24" w:name="deep-learning-for-biomedical-signals"/>
    <w:p>
      <w:pPr>
        <w:pStyle w:val="Heading2"/>
      </w:pPr>
      <w:r>
        <w:t xml:space="preserve">Deep Learning for Biomedical Signals</w:t>
      </w:r>
    </w:p>
    <w:p>
      <w:pPr>
        <w:pStyle w:val="FirstParagraph"/>
      </w:pPr>
      <w:r>
        <w:t xml:space="preserve">The application of deep learning to biomedical signal processing has demonstrated significant advances over traditional methods. Convolutional Neural Networks (CNNs) have shown particular promise for ECG classification, with Hannun et al. achieving cardiologist-level performance on arrhythmia detection</w:t>
      </w:r>
      <w:r>
        <w:t xml:space="preserve"> </w:t>
      </w:r>
      <w:r>
        <w:t xml:space="preserve">. Recurrent Neural Networks (RNNs), particularly Long Short-Term Memory (LSTM) networks, excel at capturing temporal dependencies inherent in physiological signals</w:t>
      </w:r>
      <w:r>
        <w:t xml:space="preserve"> </w:t>
      </w:r>
      <w:r>
        <w:t xml:space="preserve">.</w:t>
      </w:r>
    </w:p>
    <w:p>
      <w:pPr>
        <w:pStyle w:val="BodyText"/>
      </w:pPr>
      <w:r>
        <w:t xml:space="preserve">Recent work has explored attention mechanisms and transformer architectures for signal analysis. Natarajan et al. demonstrated that self-attention models could effectively identify clinically relevant patterns in multi-lead ECG recordings</w:t>
      </w:r>
      <w:r>
        <w:t xml:space="preserve"> </w:t>
      </w:r>
      <w:r>
        <w:t xml:space="preserve">. However, these approaches typically require substantial labeled training data and computational resources.</w:t>
      </w:r>
    </w:p>
    <w:bookmarkEnd w:id="24"/>
    <w:bookmarkStart w:id="25" w:name="large-language-models-in-healthcare"/>
    <w:p>
      <w:pPr>
        <w:pStyle w:val="Heading2"/>
      </w:pPr>
      <w:r>
        <w:t xml:space="preserve">Large Language Models in Healthcare</w:t>
      </w:r>
    </w:p>
    <w:p>
      <w:pPr>
        <w:pStyle w:val="FirstParagraph"/>
      </w:pPr>
      <w:r>
        <w:t xml:space="preserve">The emergence of Large Language Models has opened new avenues for healthcare applications. GPT-3 and its variants have demonstrated capabilities in medical question answering, clinical note generation, and patient communication</w:t>
      </w:r>
      <w:r>
        <w:t xml:space="preserve"> </w:t>
      </w:r>
      <w:r>
        <w:t xml:space="preserve">. Recent studies have explored fine-tuning LLMs on medical corpora, with models like BioBERT and ClinicalBERT showing improved performance on domain-specific tasks</w:t>
      </w:r>
      <w:r>
        <w:t xml:space="preserve"> </w:t>
      </w:r>
      <w:r>
        <w:t xml:space="preserve">.</w:t>
      </w:r>
    </w:p>
    <w:p>
      <w:pPr>
        <w:pStyle w:val="BodyText"/>
      </w:pPr>
      <w:r>
        <w:t xml:space="preserve">Integration of LLMs with diagnostic systems remains an active area of research. Zhang et al. proposed a multimodal approach combining vision transformers with language models for radiology report generation</w:t>
      </w:r>
      <w:r>
        <w:t xml:space="preserve"> </w:t>
      </w:r>
      <w:r>
        <w:t xml:space="preserve">. Our work extends this paradigm to time-series biomedical signals, addressing unique challenges in temporal pattern recognition and clinical interpretation.</w:t>
      </w:r>
    </w:p>
    <w:bookmarkEnd w:id="25"/>
    <w:bookmarkStart w:id="26" w:name="critical-comparison-and-research-gaps"/>
    <w:p>
      <w:pPr>
        <w:pStyle w:val="Heading2"/>
      </w:pPr>
      <w:r>
        <w:t xml:space="preserve">Critical Comparison and Research Gaps</w:t>
      </w:r>
    </w:p>
    <w:p>
      <w:pPr>
        <w:pStyle w:val="FirstParagraph"/>
      </w:pPr>
      <w:r>
        <w:t xml:space="preserve">Table </w:t>
      </w:r>
      <w:hyperlink w:anchor="tab:comparison">
        <w:r>
          <w:rPr>
            <w:rStyle w:val="Hyperlink"/>
          </w:rPr>
          <w:t xml:space="preserve">[tab:comparison]</w:t>
        </w:r>
      </w:hyperlink>
      <w:r>
        <w:t xml:space="preserve"> </w:t>
      </w:r>
      <w:r>
        <w:t xml:space="preserve">provides a critical comparison of existing approaches in biomedical signal processing and healthcare AI. Our analysis reveals three fundamental gaps in current literature that motivate this work.</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left"/>
            </w:pPr>
            <w:r>
              <w:rPr>
                <w:bCs/>
                <w:b/>
              </w:rPr>
              <w:t xml:space="preserve">Approach</w:t>
            </w:r>
          </w:p>
        </w:tc>
        <w:tc>
          <w:tcPr/>
          <w:p>
            <w:pPr>
              <w:pStyle w:val="Compact"/>
              <w:jc w:val="center"/>
            </w:pPr>
            <w:r>
              <w:rPr>
                <w:bCs/>
                <w:b/>
              </w:rPr>
              <w:t xml:space="preserve">Preprocessing</w:t>
            </w:r>
          </w:p>
        </w:tc>
        <w:tc>
          <w:tcPr/>
          <w:p>
            <w:pPr>
              <w:pStyle w:val="Compact"/>
              <w:jc w:val="center"/>
            </w:pPr>
            <w:r>
              <w:rPr>
                <w:bCs/>
                <w:b/>
              </w:rPr>
              <w:t xml:space="preserve">Cross-</w:t>
            </w:r>
          </w:p>
        </w:tc>
        <w:tc>
          <w:tcPr/>
          <w:p>
            <w:pPr>
              <w:pStyle w:val="Compact"/>
              <w:jc w:val="center"/>
            </w:pPr>
            <w:r>
              <w:rPr>
                <w:bCs/>
                <w:b/>
              </w:rPr>
              <w:t xml:space="preserve">Clinical</w:t>
            </w:r>
          </w:p>
        </w:tc>
        <w:tc>
          <w:tcPr/>
          <w:p>
            <w:pPr>
              <w:pStyle w:val="Compact"/>
              <w:jc w:val="center"/>
            </w:pPr>
            <w:r>
              <w:rPr>
                <w:bCs/>
                <w:b/>
              </w:rPr>
              <w:t xml:space="preserve">Deployment</w:t>
            </w:r>
          </w:p>
        </w:tc>
        <w:tc>
          <w:tcPr/>
          <w:p>
            <w:pPr>
              <w:pStyle w:val="Compact"/>
              <w:jc w:val="left"/>
            </w:pPr>
            <w:r>
              <w:rPr>
                <w:bCs/>
                <w:b/>
              </w:rPr>
              <w:t xml:space="preserve">Key Limitation</w:t>
            </w:r>
          </w:p>
        </w:tc>
      </w:tr>
      <w:tr>
        <w:tc>
          <w:tcPr/>
          <w:p>
            <w:pPr>
              <w:pStyle w:val="Compact"/>
            </w:pPr>
          </w:p>
        </w:tc>
        <w:tc>
          <w:tcPr/>
          <w:p>
            <w:pPr>
              <w:pStyle w:val="Compact"/>
              <w:jc w:val="center"/>
            </w:pPr>
            <w:r>
              <w:rPr>
                <w:bCs/>
                <w:b/>
              </w:rPr>
              <w:t xml:space="preserve">Adaptability</w:t>
            </w:r>
          </w:p>
        </w:tc>
        <w:tc>
          <w:tcPr/>
          <w:p>
            <w:pPr>
              <w:pStyle w:val="Compact"/>
              <w:jc w:val="center"/>
            </w:pPr>
            <w:r>
              <w:rPr>
                <w:bCs/>
                <w:b/>
              </w:rPr>
              <w:t xml:space="preserve">Modal</w:t>
            </w:r>
          </w:p>
        </w:tc>
        <w:tc>
          <w:tcPr/>
          <w:p>
            <w:pPr>
              <w:pStyle w:val="Compact"/>
              <w:jc w:val="center"/>
            </w:pPr>
            <w:r>
              <w:rPr>
                <w:bCs/>
                <w:b/>
              </w:rPr>
              <w:t xml:space="preserve">Interpretability</w:t>
            </w:r>
          </w:p>
        </w:tc>
        <w:tc>
          <w:tcPr/>
          <w:p>
            <w:pPr>
              <w:pStyle w:val="Compact"/>
              <w:jc w:val="center"/>
            </w:pPr>
            <w:r>
              <w:rPr>
                <w:bCs/>
                <w:b/>
              </w:rPr>
              <w:t xml:space="preserve">Feasibility</w:t>
            </w:r>
          </w:p>
        </w:tc>
        <w:tc>
          <w:tcPr/>
          <w:p>
            <w:pPr>
              <w:pStyle w:val="Compact"/>
            </w:pPr>
          </w:p>
        </w:tc>
      </w:tr>
      <w:tr>
        <w:tc>
          <w:tcPr/>
          <w:p>
            <w:pPr>
              <w:pStyle w:val="Compact"/>
              <w:jc w:val="left"/>
            </w:pPr>
            <w:r>
              <w:t xml:space="preserve">Hannun et al.</w:t>
            </w:r>
            <w:r>
              <w:t xml:space="preserve"> </w:t>
            </w:r>
          </w:p>
        </w:tc>
        <w:tc>
          <w:tcPr/>
          <w:p>
            <w:pPr>
              <w:pStyle w:val="Compact"/>
              <w:jc w:val="center"/>
            </w:pPr>
            <w:r>
              <w:t xml:space="preserve">Generic</w:t>
            </w:r>
          </w:p>
        </w:tc>
        <w:tc>
          <w:tcPr/>
          <w:p>
            <w:pPr>
              <w:pStyle w:val="Compact"/>
              <w:jc w:val="center"/>
            </w:pPr>
            <w:r>
              <w:t xml:space="preserve">No</w:t>
            </w:r>
          </w:p>
        </w:tc>
        <w:tc>
          <w:tcPr/>
          <w:p>
            <w:pPr>
              <w:pStyle w:val="Compact"/>
              <w:jc w:val="center"/>
            </w:pPr>
            <w:r>
              <w:t xml:space="preserve">Low</w:t>
            </w:r>
          </w:p>
        </w:tc>
        <w:tc>
          <w:tcPr/>
          <w:p>
            <w:pPr>
              <w:pStyle w:val="Compact"/>
              <w:jc w:val="center"/>
            </w:pPr>
            <w:r>
              <w:t xml:space="preserve">Moderate</w:t>
            </w:r>
          </w:p>
        </w:tc>
        <w:tc>
          <w:tcPr/>
          <w:p>
            <w:pPr>
              <w:pStyle w:val="Compact"/>
              <w:jc w:val="left"/>
            </w:pPr>
            <w:r>
              <w:t xml:space="preserve">Single-modality (ECG only); no explainability</w:t>
            </w:r>
          </w:p>
        </w:tc>
      </w:tr>
      <w:tr>
        <w:tc>
          <w:tcPr/>
          <w:p>
            <w:pPr>
              <w:pStyle w:val="Compact"/>
              <w:jc w:val="left"/>
            </w:pPr>
            <w:r>
              <w:t xml:space="preserve">Natarajan et al.</w:t>
            </w:r>
            <w:r>
              <w:t xml:space="preserve"> </w:t>
            </w:r>
          </w:p>
        </w:tc>
        <w:tc>
          <w:tcPr/>
          <w:p>
            <w:pPr>
              <w:pStyle w:val="Compact"/>
              <w:jc w:val="center"/>
            </w:pPr>
            <w:r>
              <w:t xml:space="preserve">Generic</w:t>
            </w:r>
          </w:p>
        </w:tc>
        <w:tc>
          <w:tcPr/>
          <w:p>
            <w:pPr>
              <w:pStyle w:val="Compact"/>
              <w:jc w:val="center"/>
            </w:pPr>
            <w:r>
              <w:t xml:space="preserve">No</w:t>
            </w:r>
          </w:p>
        </w:tc>
        <w:tc>
          <w:tcPr/>
          <w:p>
            <w:pPr>
              <w:pStyle w:val="Compact"/>
              <w:jc w:val="center"/>
            </w:pPr>
            <w:r>
              <w:t xml:space="preserve">Low</w:t>
            </w:r>
          </w:p>
        </w:tc>
        <w:tc>
          <w:tcPr/>
          <w:p>
            <w:pPr>
              <w:pStyle w:val="Compact"/>
              <w:jc w:val="center"/>
            </w:pPr>
            <w:r>
              <w:t xml:space="preserve">Low</w:t>
            </w:r>
          </w:p>
        </w:tc>
        <w:tc>
          <w:tcPr/>
          <w:p>
            <w:pPr>
              <w:pStyle w:val="Compact"/>
              <w:jc w:val="left"/>
            </w:pPr>
            <w:r>
              <w:t xml:space="preserve">Requires multi-lead; complex architecture</w:t>
            </w:r>
          </w:p>
        </w:tc>
      </w:tr>
      <w:tr>
        <w:tc>
          <w:tcPr/>
          <w:p>
            <w:pPr>
              <w:pStyle w:val="Compact"/>
              <w:jc w:val="left"/>
            </w:pPr>
            <w:r>
              <w:t xml:space="preserve">BioBERT/ClinicalBERT</w:t>
            </w:r>
            <w:r>
              <w:t xml:space="preserve"> </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High</w:t>
            </w:r>
          </w:p>
        </w:tc>
        <w:tc>
          <w:tcPr/>
          <w:p>
            <w:pPr>
              <w:pStyle w:val="Compact"/>
              <w:jc w:val="center"/>
            </w:pPr>
            <w:r>
              <w:t xml:space="preserve">High</w:t>
            </w:r>
          </w:p>
        </w:tc>
        <w:tc>
          <w:tcPr/>
          <w:p>
            <w:pPr>
              <w:pStyle w:val="Compact"/>
              <w:jc w:val="left"/>
            </w:pPr>
            <w:r>
              <w:t xml:space="preserve">Text-only; no signal processing capability</w:t>
            </w:r>
          </w:p>
        </w:tc>
      </w:tr>
      <w:tr>
        <w:tc>
          <w:tcPr/>
          <w:p>
            <w:pPr>
              <w:pStyle w:val="Compact"/>
              <w:jc w:val="left"/>
            </w:pPr>
            <w:r>
              <w:t xml:space="preserve">ML Review</w:t>
            </w:r>
            <w:r>
              <w:t xml:space="preserve"> </w:t>
            </w:r>
          </w:p>
        </w:tc>
        <w:tc>
          <w:tcPr/>
          <w:p>
            <w:pPr>
              <w:pStyle w:val="Compact"/>
              <w:jc w:val="center"/>
            </w:pPr>
            <w:r>
              <w:t xml:space="preserve">Generic</w:t>
            </w:r>
          </w:p>
        </w:tc>
        <w:tc>
          <w:tcPr/>
          <w:p>
            <w:pPr>
              <w:pStyle w:val="Compact"/>
              <w:jc w:val="center"/>
            </w:pPr>
            <w:r>
              <w:t xml:space="preserve">Yes</w:t>
            </w:r>
          </w:p>
        </w:tc>
        <w:tc>
          <w:tcPr/>
          <w:p>
            <w:pPr>
              <w:pStyle w:val="Compact"/>
              <w:jc w:val="center"/>
            </w:pPr>
            <w:r>
              <w:t xml:space="preserve">Moderate</w:t>
            </w:r>
          </w:p>
        </w:tc>
        <w:tc>
          <w:tcPr/>
          <w:p>
            <w:pPr>
              <w:pStyle w:val="Compact"/>
              <w:jc w:val="center"/>
            </w:pPr>
            <w:r>
              <w:t xml:space="preserve">High</w:t>
            </w:r>
          </w:p>
        </w:tc>
        <w:tc>
          <w:tcPr/>
          <w:p>
            <w:pPr>
              <w:pStyle w:val="Compact"/>
              <w:jc w:val="left"/>
            </w:pPr>
            <w:r>
              <w:t xml:space="preserve">Survey work; feature engineering required</w:t>
            </w:r>
          </w:p>
        </w:tc>
      </w:tr>
      <w:tr>
        <w:tc>
          <w:tcPr/>
          <w:p>
            <w:pPr>
              <w:pStyle w:val="Compact"/>
              <w:jc w:val="left"/>
            </w:pPr>
            <w:r>
              <w:t xml:space="preserve">IoT Monitoring</w:t>
            </w:r>
            <w:r>
              <w:t xml:space="preserve"> </w:t>
            </w:r>
          </w:p>
        </w:tc>
        <w:tc>
          <w:tcPr/>
          <w:p>
            <w:pPr>
              <w:pStyle w:val="Compact"/>
              <w:jc w:val="center"/>
            </w:pPr>
            <w:r>
              <w:t xml:space="preserve">N/A</w:t>
            </w:r>
          </w:p>
        </w:tc>
        <w:tc>
          <w:tcPr/>
          <w:p>
            <w:pPr>
              <w:pStyle w:val="Compact"/>
              <w:jc w:val="center"/>
            </w:pPr>
            <w:r>
              <w:t xml:space="preserve">Yes</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Focus on data transmission, not diagnosis</w:t>
            </w:r>
          </w:p>
        </w:tc>
      </w:tr>
      <w:tr>
        <w:tc>
          <w:tcPr/>
          <w:p>
            <w:pPr>
              <w:pStyle w:val="Compact"/>
              <w:jc w:val="left"/>
            </w:pPr>
            <w:r>
              <w:t xml:space="preserve">IoMT Security</w:t>
            </w:r>
            <w:r>
              <w:t xml:space="preserve"> </w:t>
            </w:r>
          </w:p>
        </w:tc>
        <w:tc>
          <w:tcPr/>
          <w:p>
            <w:pPr>
              <w:pStyle w:val="Compact"/>
              <w:jc w:val="center"/>
            </w:pPr>
            <w:r>
              <w:t xml:space="preserve">N/A</w:t>
            </w:r>
          </w:p>
        </w:tc>
        <w:tc>
          <w:tcPr/>
          <w:p>
            <w:pPr>
              <w:pStyle w:val="Compact"/>
              <w:jc w:val="center"/>
            </w:pPr>
            <w:r>
              <w:t xml:space="preserve">Yes</w:t>
            </w:r>
          </w:p>
        </w:tc>
        <w:tc>
          <w:tcPr/>
          <w:p>
            <w:pPr>
              <w:pStyle w:val="Compact"/>
              <w:jc w:val="center"/>
            </w:pPr>
            <w:r>
              <w:t xml:space="preserve">Low</w:t>
            </w:r>
          </w:p>
        </w:tc>
        <w:tc>
          <w:tcPr/>
          <w:p>
            <w:pPr>
              <w:pStyle w:val="Compact"/>
              <w:jc w:val="center"/>
            </w:pPr>
            <w:r>
              <w:t xml:space="preserve">Moderate</w:t>
            </w:r>
          </w:p>
        </w:tc>
        <w:tc>
          <w:tcPr/>
          <w:p>
            <w:pPr>
              <w:pStyle w:val="Compact"/>
              <w:jc w:val="left"/>
            </w:pPr>
            <w:r>
              <w:t xml:space="preserve">Infrastructure security; no diagnostic capability</w:t>
            </w:r>
          </w:p>
        </w:tc>
      </w:tr>
      <w:tr>
        <w:tc>
          <w:tcPr/>
          <w:p>
            <w:pPr>
              <w:pStyle w:val="Compact"/>
              <w:jc w:val="left"/>
            </w:pPr>
            <w:r>
              <w:t xml:space="preserve">Traditional ML (SVM, RF)</w:t>
            </w:r>
          </w:p>
        </w:tc>
        <w:tc>
          <w:tcPr/>
          <w:p>
            <w:pPr>
              <w:pStyle w:val="Compact"/>
              <w:jc w:val="center"/>
            </w:pPr>
            <w:r>
              <w:t xml:space="preserve">Generic</w:t>
            </w:r>
          </w:p>
        </w:tc>
        <w:tc>
          <w:tcPr/>
          <w:p>
            <w:pPr>
              <w:pStyle w:val="Compact"/>
              <w:jc w:val="center"/>
            </w:pPr>
            <w:r>
              <w:t xml:space="preserve">Yes</w:t>
            </w:r>
          </w:p>
        </w:tc>
        <w:tc>
          <w:tcPr/>
          <w:p>
            <w:pPr>
              <w:pStyle w:val="Compact"/>
              <w:jc w:val="center"/>
            </w:pPr>
            <w:r>
              <w:t xml:space="preserve">Moderate</w:t>
            </w:r>
          </w:p>
        </w:tc>
        <w:tc>
          <w:tcPr/>
          <w:p>
            <w:pPr>
              <w:pStyle w:val="Compact"/>
              <w:jc w:val="center"/>
            </w:pPr>
            <w:r>
              <w:t xml:space="preserve">High</w:t>
            </w:r>
          </w:p>
        </w:tc>
        <w:tc>
          <w:tcPr/>
          <w:p>
            <w:pPr>
              <w:pStyle w:val="Compact"/>
              <w:jc w:val="left"/>
            </w:pPr>
            <w:r>
              <w:t xml:space="preserve">Feature engineering required; limited accuracy</w:t>
            </w:r>
          </w:p>
        </w:tc>
      </w:tr>
      <w:tr>
        <w:tc>
          <w:tcPr/>
          <w:p>
            <w:pPr>
              <w:pStyle w:val="Compact"/>
              <w:jc w:val="left"/>
            </w:pPr>
            <w:r>
              <w:rPr>
                <w:bCs/>
                <w:b/>
              </w:rPr>
              <w:t xml:space="preserve">Proposed System</w:t>
            </w:r>
          </w:p>
        </w:tc>
        <w:tc>
          <w:tcPr/>
          <w:p>
            <w:pPr>
              <w:pStyle w:val="Compact"/>
              <w:jc w:val="center"/>
            </w:pPr>
            <w:r>
              <w:rPr>
                <w:bCs/>
                <w:b/>
              </w:rPr>
              <w:t xml:space="preserve">Modality-specific</w:t>
            </w:r>
          </w:p>
        </w:tc>
        <w:tc>
          <w:tcPr/>
          <w:p>
            <w:pPr>
              <w:pStyle w:val="Compact"/>
              <w:jc w:val="center"/>
            </w:pPr>
            <w:r>
              <w:rPr>
                <w:bCs/>
                <w:b/>
              </w:rPr>
              <w:t xml:space="preserve">Yes</w:t>
            </w:r>
          </w:p>
        </w:tc>
        <w:tc>
          <w:tcPr/>
          <w:p>
            <w:pPr>
              <w:pStyle w:val="Compact"/>
              <w:jc w:val="center"/>
            </w:pPr>
            <w:r>
              <w:rPr>
                <w:bCs/>
                <w:b/>
              </w:rPr>
              <w:t xml:space="preserve">High (GPT-4)</w:t>
            </w:r>
          </w:p>
        </w:tc>
        <w:tc>
          <w:tcPr/>
          <w:p>
            <w:pPr>
              <w:pStyle w:val="Compact"/>
              <w:jc w:val="center"/>
            </w:pPr>
            <w:r>
              <w:rPr>
                <w:bCs/>
                <w:b/>
              </w:rPr>
              <w:t xml:space="preserve">High</w:t>
            </w:r>
          </w:p>
        </w:tc>
        <w:tc>
          <w:tcPr/>
          <w:p>
            <w:pPr>
              <w:pStyle w:val="Compact"/>
              <w:jc w:val="left"/>
            </w:pPr>
            <w:r>
              <w:rPr>
                <w:bCs/>
                <w:b/>
              </w:rPr>
              <w:t xml:space="preserve">Requires internet connectivity</w:t>
            </w:r>
          </w:p>
        </w:tc>
      </w:tr>
    </w:tbl>
    <w:p>
      <w:pPr>
        <w:pStyle w:val="BodyText"/>
      </w:pPr>
      <w:r>
        <w:rPr>
          <w:bCs/>
          <w:b/>
        </w:rPr>
        <w:t xml:space="preserve">Research Gap 1: Generic Preprocessing Limits Cross-Modal Applicability</w:t>
      </w:r>
    </w:p>
    <w:p>
      <w:pPr>
        <w:pStyle w:val="BodyText"/>
      </w:pPr>
      <w:r>
        <w:t xml:space="preserve">Existing deep learning approaches (e.g., Hannun et al.</w:t>
      </w:r>
      <w:r>
        <w:t xml:space="preserve"> </w:t>
      </w:r>
      <w:r>
        <w:t xml:space="preserve">, Natarajan et al.</w:t>
      </w:r>
      <w:r>
        <w:t xml:space="preserve"> </w:t>
      </w:r>
      <w:r>
        <w:t xml:space="preserve">) typically apply uniform preprocessing parameters across all biomedical signals. However, ECG and EEG signals have fundamentally different frequency content: cardiac QRS complexes require preservation of 0.5–50 Hz, while EEG sleep oscillations span 0.5–30 Hz. Generic filtering either over-smooths high-frequency ECG features or retains EEG artifacts, degrading classification performance. Our modality-adaptive preprocessing (Table </w:t>
      </w:r>
      <w:hyperlink w:anchor="tab:filtering_params">
        <w:r>
          <w:rPr>
            <w:rStyle w:val="Hyperlink"/>
          </w:rPr>
          <w:t xml:space="preserve">1</w:t>
        </w:r>
      </w:hyperlink>
      <w:r>
        <w:t xml:space="preserve">) addresses this gap by tailoring filter parameters to physiological characteristics of each signal type.</w:t>
      </w:r>
    </w:p>
    <w:p>
      <w:pPr>
        <w:pStyle w:val="BodyText"/>
      </w:pPr>
      <w:r>
        <w:rPr>
          <w:bCs/>
          <w:b/>
        </w:rPr>
        <w:t xml:space="preserve">Research Gap 2: Lack of Clinical Interpretability for Non-Specialists</w:t>
      </w:r>
    </w:p>
    <w:p>
      <w:pPr>
        <w:pStyle w:val="BodyText"/>
      </w:pPr>
      <w:r>
        <w:t xml:space="preserve">While automated classification systems achieve high accuracy, their outputs typically consist of technical labels (</w:t>
      </w:r>
      <w:r>
        <w:t xml:space="preserve">“</w:t>
      </w:r>
      <w:r>
        <w:t xml:space="preserve">Atrial Fibrillation,</w:t>
      </w:r>
      <w:r>
        <w:t xml:space="preserve">”</w:t>
      </w:r>
      <w:r>
        <w:t xml:space="preserve"> </w:t>
      </w:r>
      <w:r>
        <w:t xml:space="preserve">“</w:t>
      </w:r>
      <w:r>
        <w:t xml:space="preserve">Stage N2 Sleep</w:t>
      </w:r>
      <w:r>
        <w:t xml:space="preserve">”</w:t>
      </w:r>
      <w:r>
        <w:t xml:space="preserve">) without clinical context. Non-specialist healthcare workers in underserved regions require actionable guidance: What does this finding mean? What should I do next? Existing systems lack natural language generation capabilities to bridge this gap. Our integration of GPT-4 (Section IV) provides structured clinical interpretations including explanation, significance, and recommended actions—addressing the interpretability barrier to deployment.</w:t>
      </w:r>
    </w:p>
    <w:p>
      <w:pPr>
        <w:pStyle w:val="BodyText"/>
      </w:pPr>
      <w:r>
        <w:rPr>
          <w:bCs/>
          <w:b/>
        </w:rPr>
        <w:t xml:space="preserve">Research Gap 3: Multi-Lead Architectures Incompatible with Point-of-Care Devices</w:t>
      </w:r>
    </w:p>
    <w:p>
      <w:pPr>
        <w:pStyle w:val="BodyText"/>
      </w:pPr>
      <w:r>
        <w:t xml:space="preserve">State-of-the-art ECG classification systems</w:t>
      </w:r>
      <w:r>
        <w:t xml:space="preserve"> </w:t>
      </w:r>
      <w:r>
        <w:t xml:space="preserve"> </w:t>
      </w:r>
      <w:r>
        <w:t xml:space="preserve">employ multi-lead fusion mechanisms requiring 12-lead recordings. However, portable devices available in resource-constrained settings (AliveCor KardiaMobile, handheld monitors) capture only single-lead signals. This architectural mismatch prevents deployment of high-performance models in target environments. Our single-lead selection strategy (Section III.A.4, Table </w:t>
      </w:r>
      <w:hyperlink w:anchor="tab:lead_selection">
        <w:r>
          <w:rPr>
            <w:rStyle w:val="Hyperlink"/>
          </w:rPr>
          <w:t xml:space="preserve">3</w:t>
        </w:r>
      </w:hyperlink>
      <w:r>
        <w:t xml:space="preserve">) ensures compatibility with point-of-care devices while maintaining competitive accuracy.</w:t>
      </w:r>
    </w:p>
    <w:p>
      <w:pPr>
        <w:pStyle w:val="BodyText"/>
      </w:pPr>
      <w:r>
        <w:rPr>
          <w:bCs/>
          <w:b/>
        </w:rPr>
        <w:t xml:space="preserve">Complementary vs. Orthogonal Work:</w:t>
      </w:r>
    </w:p>
    <w:p>
      <w:pPr>
        <w:pStyle w:val="BodyText"/>
      </w:pPr>
      <w:r>
        <w:t xml:space="preserve">Recent literature on IoT-enabled healthcare systems</w:t>
      </w:r>
      <w:r>
        <w:t xml:space="preserve"> </w:t>
      </w:r>
      <w:r>
        <w:t xml:space="preserve">, secure IoMT frameworks</w:t>
      </w:r>
      <w:r>
        <w:t xml:space="preserve"> </w:t>
      </w:r>
      <w:r>
        <w:t xml:space="preserve">, and ML in healthcare surveys</w:t>
      </w:r>
      <w:r>
        <w:t xml:space="preserve"> </w:t>
      </w:r>
      <w:r>
        <w:t xml:space="preserve"> </w:t>
      </w:r>
      <w:r>
        <w:t xml:space="preserve">address orthogonal challenges to our work:</w:t>
      </w:r>
    </w:p>
    <w:p>
      <w:pPr>
        <w:numPr>
          <w:ilvl w:val="0"/>
          <w:numId w:val="1002"/>
        </w:numPr>
      </w:pPr>
      <w:r>
        <w:rPr>
          <w:bCs/>
          <w:b/>
        </w:rPr>
        <w:t xml:space="preserve">IoT/IoMT Systems</w:t>
      </w:r>
      <w:r>
        <w:rPr>
          <w:bCs/>
          <w:b/>
        </w:rPr>
        <w:t xml:space="preserve"> </w:t>
      </w:r>
      <w:r>
        <w:rPr>
          <w:bCs/>
          <w:b/>
        </w:rPr>
        <w:t xml:space="preserve">:</w:t>
      </w:r>
      <w:r>
        <w:t xml:space="preserve"> </w:t>
      </w:r>
      <w:r>
        <w:t xml:space="preserve">Focus on</w:t>
      </w:r>
      <w:r>
        <w:t xml:space="preserve"> </w:t>
      </w:r>
      <w:r>
        <w:rPr>
          <w:iCs/>
          <w:i/>
        </w:rPr>
        <w:t xml:space="preserve">data transmission infrastructure</w:t>
      </w:r>
      <w:r>
        <w:t xml:space="preserve"> </w:t>
      </w:r>
      <w:r>
        <w:t xml:space="preserve">(fog computing, blockchain security) for real-time monitoring. Our contribution operates at the</w:t>
      </w:r>
      <w:r>
        <w:t xml:space="preserve"> </w:t>
      </w:r>
      <w:r>
        <w:rPr>
          <w:iCs/>
          <w:i/>
        </w:rPr>
        <w:t xml:space="preserve">diagnostic interpretation layer</w:t>
      </w:r>
      <w:r>
        <w:t xml:space="preserve">—assuming data has already been transmitted to cloud/edge infrastructure, we perform signal classification and generate clinical explanations. These approaches are complementary: IoT systems provide the data pipeline, our system provides the diagnostic intelligence.</w:t>
      </w:r>
    </w:p>
    <w:p>
      <w:pPr>
        <w:numPr>
          <w:ilvl w:val="0"/>
          <w:numId w:val="1002"/>
        </w:numPr>
      </w:pPr>
      <w:r>
        <w:rPr>
          <w:bCs/>
          <w:b/>
        </w:rPr>
        <w:t xml:space="preserve">Security Frameworks</w:t>
      </w:r>
      <w:r>
        <w:rPr>
          <w:bCs/>
          <w:b/>
        </w:rPr>
        <w:t xml:space="preserve"> </w:t>
      </w:r>
      <w:r>
        <w:rPr>
          <w:bCs/>
          <w:b/>
        </w:rPr>
        <w:t xml:space="preserve">:</w:t>
      </w:r>
      <w:r>
        <w:t xml:space="preserve"> </w:t>
      </w:r>
      <w:r>
        <w:t xml:space="preserve">Address cryptographic signatures and secure communication protocols for medical device authentication. Our work assumes a secure communication channel (standard SSL/TLS for API calls) and focuses on diagnostic accuracy and interpretability. Security considerations are orthogonal to our core contribution but essential for production deployment.</w:t>
      </w:r>
    </w:p>
    <w:p>
      <w:pPr>
        <w:numPr>
          <w:ilvl w:val="0"/>
          <w:numId w:val="1002"/>
        </w:numPr>
      </w:pPr>
      <w:r>
        <w:rPr>
          <w:bCs/>
          <w:b/>
        </w:rPr>
        <w:t xml:space="preserve">ML Healthcare Reviews</w:t>
      </w:r>
      <w:r>
        <w:rPr>
          <w:bCs/>
          <w:b/>
        </w:rPr>
        <w:t xml:space="preserve"> </w:t>
      </w:r>
      <w:r>
        <w:rPr>
          <w:bCs/>
          <w:b/>
        </w:rPr>
        <w:t xml:space="preserve">:</w:t>
      </w:r>
      <w:r>
        <w:t xml:space="preserve"> </w:t>
      </w:r>
      <w:r>
        <w:t xml:space="preserve">Provide broad surveys of ML techniques (SVM, random forests, CNNs) applied to healthcare datasets. Our contribution is a</w:t>
      </w:r>
      <w:r>
        <w:t xml:space="preserve"> </w:t>
      </w:r>
      <w:r>
        <w:rPr>
          <w:iCs/>
          <w:i/>
        </w:rPr>
        <w:t xml:space="preserve">specific end-to-end implementation</w:t>
      </w:r>
      <w:r>
        <w:t xml:space="preserve"> </w:t>
      </w:r>
      <w:r>
        <w:t xml:space="preserve">with modality-adaptive preprocessing, patient-level validation, and LLM integration—going beyond survey scope to provide reproducible methodology and open-source code.</w:t>
      </w:r>
    </w:p>
    <w:p>
      <w:pPr>
        <w:pStyle w:val="FirstParagraph"/>
      </w:pPr>
      <w:r>
        <w:t xml:space="preserve">By clearly delineating our diagnostic intelligence contribution from infrastructure/security concerns, we position this work as a complementary component within the broader ecosystem of AI-enabled healthcare delivery systems.</w:t>
      </w:r>
    </w:p>
    <w:bookmarkEnd w:id="26"/>
    <w:bookmarkEnd w:id="27"/>
    <w:bookmarkStart w:id="52" w:name="system-architecture"/>
    <w:p>
      <w:pPr>
        <w:pStyle w:val="Heading1"/>
      </w:pPr>
      <w:r>
        <w:t xml:space="preserve">System Architecture</w:t>
      </w:r>
    </w:p>
    <w:p>
      <w:pPr>
        <w:pStyle w:val="FirstParagraph"/>
      </w:pPr>
      <w:r>
        <w:t xml:space="preserve">The proposed pipeline comprises three interconnected modules: data preprocessing, model training, and inference with natural language generation. Fig. </w:t>
      </w:r>
      <w:hyperlink w:anchor="fig:architecture">
        <w:r>
          <w:rPr>
            <w:rStyle w:val="Hyperlink"/>
          </w:rPr>
          <w:t xml:space="preserve">1</w:t>
        </w:r>
      </w:hyperlink>
      <w:r>
        <w:t xml:space="preserve"> </w:t>
      </w:r>
      <w:r>
        <w:t xml:space="preserve">illustrates the overall system architecture and data flow.</w:t>
      </w:r>
    </w:p>
    <w:p>
      <w:pPr>
        <w:pStyle w:val="CaptionedFigure"/>
      </w:pPr>
      <w:bookmarkStart w:id="28" w:name="fig:architecture"/>
      <w:r>
        <w:t xml:space="preserve">System architecture overview showing the data flow from raw biomedical signals through preprocessing, deep learning classification, and natural language generation.</w:t>
      </w:r>
      <w:bookmarkEnd w:id="28"/>
    </w:p>
    <w:p>
      <w:pPr>
        <w:pStyle w:val="ImageCaption"/>
      </w:pPr>
      <w:r>
        <w:t xml:space="preserve">System architecture overview showing the data flow from raw biomedical signals through preprocessing, deep learning classification, and natural language generation.</w:t>
      </w:r>
    </w:p>
    <w:bookmarkStart w:id="39" w:name="data-preprocessing-module"/>
    <w:p>
      <w:pPr>
        <w:pStyle w:val="Heading2"/>
      </w:pPr>
      <w:r>
        <w:t xml:space="preserve">Data Preprocessing Module</w:t>
      </w:r>
    </w:p>
    <w:p>
      <w:pPr>
        <w:pStyle w:val="FirstParagraph"/>
      </w:pPr>
      <w:r>
        <w:t xml:space="preserve">The preprocessing module performs essential signal conditioning operations to enhance signal quality and facilitate feature extraction. The module implements the following operations:</w:t>
      </w:r>
    </w:p>
    <w:bookmarkStart w:id="31" w:name="modality-specific-bandpass-filtering"/>
    <w:p>
      <w:pPr>
        <w:pStyle w:val="Heading3"/>
      </w:pPr>
      <w:r>
        <w:t xml:space="preserve">Modality-Specific Bandpass Filtering</w:t>
      </w:r>
    </w:p>
    <w:p>
      <w:pPr>
        <w:pStyle w:val="FirstParagraph"/>
      </w:pPr>
      <w:r>
        <w:t xml:space="preserve">Our preprocessing pipeline implements modality-adaptive bandpass filtering to account for fundamental physiological differences between ECG and EEG signals. Unlike generic filtering approaches that apply uniform parameters across all biomedical signals, our method tailors frequency band selection to preserve diagnostically relevant features while removing artifacts specific to each modality.</w:t>
      </w:r>
    </w:p>
    <w:p>
      <w:pPr>
        <w:pStyle w:val="BodyText"/>
      </w:pPr>
      <w:r>
        <w:rPr>
          <w:bCs/>
          <w:b/>
        </w:rPr>
        <w:t xml:space="preserve">ECG Signal Filtering (MIT-BIH, MIMIC-III):</w:t>
      </w:r>
      <w:r>
        <w:t xml:space="preserve"> </w:t>
      </w:r>
      <w:r>
        <w:t xml:space="preserve">We apply 0.5–50 Hz bandpass filtering to cardiac signals. The lower cutoff (0.5 Hz) removes baseline wander caused by respiration and electrode motion, while the upper cutoff (50 Hz) eliminates power-line interference and high-frequency noise while preserving the QRS complex morphology essential for arrhythmia classification</w:t>
      </w:r>
      <w:r>
        <w:t xml:space="preserve"> </w:t>
      </w:r>
      <w:r>
        <w:t xml:space="preserve">.</w:t>
      </w:r>
    </w:p>
    <w:p>
      <w:pPr>
        <w:pStyle w:val="BodyText"/>
      </w:pPr>
      <w:r>
        <w:rPr>
          <w:bCs/>
          <w:b/>
        </w:rPr>
        <w:t xml:space="preserve">EEG Signal Filtering (Sleep-EDF):</w:t>
      </w:r>
      <w:r>
        <w:t xml:space="preserve"> </w:t>
      </w:r>
      <w:r>
        <w:t xml:space="preserve">For electroencephalographic signals, we employ 0.5–30 Hz bandpass filtering to preserve sleep-related frequency bands: delta (0.5–4 Hz), theta (4–8 Hz), alpha (8–13 Hz), and beta (13–30 Hz). This range captures the physiological oscillations critical for sleep stage classification according to Rechtschaffen and Kales criteria</w:t>
      </w:r>
      <w:r>
        <w:t xml:space="preserve"> </w:t>
      </w:r>
      <w:r>
        <w:t xml:space="preserve">.</w:t>
      </w:r>
    </w:p>
    <w:p>
      <w:pPr>
        <w:pStyle w:val="BodyText"/>
      </w:pPr>
      <w:r>
        <w:t xml:space="preserve">Table </w:t>
      </w:r>
      <w:hyperlink w:anchor="tab:filtering_params">
        <w:r>
          <w:rPr>
            <w:rStyle w:val="Hyperlink"/>
          </w:rPr>
          <w:t xml:space="preserve">1</w:t>
        </w:r>
      </w:hyperlink>
      <w:r>
        <w:t xml:space="preserve"> </w:t>
      </w:r>
      <w:r>
        <w:t xml:space="preserve">summarizes the modality-specific filtering parameters applied to each dataset.</w:t>
      </w:r>
    </w:p>
    <w:bookmarkStart w:id="29" w:name="tab:filtering_params"/>
    <w:p>
      <w:pPr>
        <w:pStyle w:val="TableCaption"/>
      </w:pPr>
      <w:r>
        <w:t xml:space="preserve">Modality-Specific Bandpass Filter Parameters</w:t>
      </w:r>
    </w:p>
    <w:tbl>
      <w:tblPr>
        <w:tblStyle w:val="Table"/>
        <w:tblW w:type="auto" w:w="0"/>
        <w:tblLook w:firstRow="1" w:lastRow="0" w:firstColumn="0" w:lastColumn="0" w:noHBand="0" w:noVBand="0" w:val="0020"/>
        <w:tblCaption w:val="Modality-Specific Bandpass Filter Parameters"/>
      </w:tblPr>
      <w:tblGrid>
        <w:gridCol w:w="1980"/>
        <w:gridCol w:w="1980"/>
        <w:gridCol w:w="1980"/>
        <w:gridCol w:w="1980"/>
      </w:tblGrid>
      <w:tr>
        <w:trPr>
          <w:tblHeader w:val="true"/>
        </w:trPr>
        <w:tc>
          <w:tcPr/>
          <w:p>
            <w:pPr>
              <w:pStyle w:val="Compact"/>
              <w:jc w:val="left"/>
            </w:pPr>
            <w:r>
              <w:rPr>
                <w:bCs/>
                <w:b/>
              </w:rPr>
              <w:t xml:space="preserve">Dataset</w:t>
            </w:r>
          </w:p>
        </w:tc>
        <w:tc>
          <w:tcPr/>
          <w:p>
            <w:pPr>
              <w:pStyle w:val="Compact"/>
              <w:jc w:val="center"/>
            </w:pPr>
            <w:r>
              <w:rPr>
                <w:bCs/>
                <w:b/>
              </w:rPr>
              <w:t xml:space="preserve">Low (Hz)</w:t>
            </w:r>
          </w:p>
        </w:tc>
        <w:tc>
          <w:tcPr/>
          <w:p>
            <w:pPr>
              <w:pStyle w:val="Compact"/>
              <w:jc w:val="center"/>
            </w:pPr>
            <w:r>
              <w:rPr>
                <w:bCs/>
                <w:b/>
              </w:rPr>
              <w:t xml:space="preserve">High (Hz)</w:t>
            </w:r>
          </w:p>
        </w:tc>
        <w:tc>
          <w:tcPr/>
          <w:p>
            <w:pPr>
              <w:pStyle w:val="Compact"/>
              <w:jc w:val="left"/>
            </w:pPr>
            <w:r>
              <w:rPr>
                <w:bCs/>
                <w:b/>
              </w:rPr>
              <w:t xml:space="preserve">Rationale</w:t>
            </w:r>
          </w:p>
        </w:tc>
      </w:tr>
      <w:tr>
        <w:tc>
          <w:tcPr/>
          <w:p>
            <w:pPr>
              <w:pStyle w:val="Compact"/>
              <w:jc w:val="left"/>
            </w:pPr>
            <w:r>
              <w:t xml:space="preserve">MIT-BIH Arrhythmia</w:t>
            </w:r>
          </w:p>
        </w:tc>
        <w:tc>
          <w:tcPr/>
          <w:p>
            <w:pPr>
              <w:pStyle w:val="Compact"/>
              <w:jc w:val="center"/>
            </w:pPr>
            <w:r>
              <w:t xml:space="preserve">0.5</w:t>
            </w:r>
          </w:p>
        </w:tc>
        <w:tc>
          <w:tcPr/>
          <w:p>
            <w:pPr>
              <w:pStyle w:val="Compact"/>
              <w:jc w:val="center"/>
            </w:pPr>
            <w:r>
              <w:t xml:space="preserve">50</w:t>
            </w:r>
          </w:p>
        </w:tc>
        <w:tc>
          <w:tcPr/>
          <w:p>
            <w:pPr>
              <w:pStyle w:val="Compact"/>
              <w:jc w:val="left"/>
            </w:pPr>
            <w:r>
              <w:t xml:space="preserve">Preserve QRS morphology; remove baseline wander</w:t>
            </w:r>
          </w:p>
        </w:tc>
      </w:tr>
      <w:tr>
        <w:tc>
          <w:tcPr/>
          <w:p>
            <w:pPr>
              <w:pStyle w:val="Compact"/>
              <w:jc w:val="left"/>
            </w:pPr>
            <w:r>
              <w:t xml:space="preserve">MIMIC-III Waveforms</w:t>
            </w:r>
          </w:p>
        </w:tc>
        <w:tc>
          <w:tcPr/>
          <w:p>
            <w:pPr>
              <w:pStyle w:val="Compact"/>
              <w:jc w:val="center"/>
            </w:pPr>
            <w:r>
              <w:t xml:space="preserve">0.5</w:t>
            </w:r>
          </w:p>
        </w:tc>
        <w:tc>
          <w:tcPr/>
          <w:p>
            <w:pPr>
              <w:pStyle w:val="Compact"/>
              <w:jc w:val="center"/>
            </w:pPr>
            <w:r>
              <w:t xml:space="preserve">50</w:t>
            </w:r>
          </w:p>
        </w:tc>
        <w:tc>
          <w:tcPr/>
          <w:p>
            <w:pPr>
              <w:pStyle w:val="Compact"/>
              <w:jc w:val="left"/>
            </w:pPr>
            <w:r>
              <w:t xml:space="preserve">Standard cardiac filtering; ICU artifact removal</w:t>
            </w:r>
          </w:p>
        </w:tc>
      </w:tr>
      <w:tr>
        <w:tc>
          <w:tcPr/>
          <w:p>
            <w:pPr>
              <w:pStyle w:val="Compact"/>
              <w:jc w:val="left"/>
            </w:pPr>
            <w:r>
              <w:t xml:space="preserve">Sleep-EDF (EEG)</w:t>
            </w:r>
          </w:p>
        </w:tc>
        <w:tc>
          <w:tcPr/>
          <w:p>
            <w:pPr>
              <w:pStyle w:val="Compact"/>
              <w:jc w:val="center"/>
            </w:pPr>
            <w:r>
              <w:t xml:space="preserve">0.5</w:t>
            </w:r>
          </w:p>
        </w:tc>
        <w:tc>
          <w:tcPr/>
          <w:p>
            <w:pPr>
              <w:pStyle w:val="Compact"/>
              <w:jc w:val="center"/>
            </w:pPr>
            <w:r>
              <w:t xml:space="preserve">30</w:t>
            </w:r>
          </w:p>
        </w:tc>
        <w:tc>
          <w:tcPr/>
          <w:p>
            <w:pPr>
              <w:pStyle w:val="Compact"/>
              <w:jc w:val="left"/>
            </w:pPr>
            <w:r>
              <w:t xml:space="preserve">Preserve sleep frequency bands (delta–beta)</w:t>
            </w:r>
          </w:p>
        </w:tc>
      </w:tr>
    </w:tbl>
    <w:bookmarkEnd w:id="29"/>
    <w:p>
      <w:pPr>
        <w:pStyle w:val="BodyText"/>
      </w:pPr>
      <w:r>
        <w:t xml:space="preserve">All filtering operations use 5th-order Butterworth filters implemented via the</w:t>
      </w:r>
      <w:r>
        <w:t xml:space="preserve"> </w:t>
      </w:r>
      <w:r>
        <w:rPr>
          <w:rStyle w:val="VerbatimChar"/>
        </w:rPr>
        <w:t xml:space="preserve">scipy.signal</w:t>
      </w:r>
      <w:r>
        <w:t xml:space="preserve"> </w:t>
      </w:r>
      <w:r>
        <w:t xml:space="preserve">library. The implementation automatically selects appropriate parameters based on dataset identifier, as shown in Listing </w:t>
      </w:r>
      <w:hyperlink w:anchor="lst:bandpass_code">
        <w:r>
          <w:rPr>
            <w:rStyle w:val="Hyperlink"/>
          </w:rPr>
          <w:t xml:space="preserve">[lst:bandpass_code]</w:t>
        </w:r>
      </w:hyperlink>
      <w:r>
        <w:t xml:space="preserve">.</w:t>
      </w:r>
    </w:p>
    <w:bookmarkStart w:id="30" w:name="lst:bandpass_code"/>
    <w:p>
      <w:pPr>
        <w:pStyle w:val="SourceCode"/>
      </w:pPr>
      <w:r>
        <w:rPr>
          <w:rStyle w:val="VerbatimChar"/>
        </w:rPr>
        <w:t xml:space="preserve">def bandpass_filter(signal, database_name, fs, order=5):</w:t>
      </w:r>
      <w:r>
        <w:br/>
      </w:r>
      <w:r>
        <w:rPr>
          <w:rStyle w:val="VerbatimChar"/>
        </w:rPr>
        <w:t xml:space="preserve">    """Apply modality-specific bandpass filter"""</w:t>
      </w:r>
      <w:r>
        <w:br/>
      </w:r>
      <w:r>
        <w:rPr>
          <w:rStyle w:val="VerbatimChar"/>
        </w:rPr>
        <w:t xml:space="preserve">    filter_params = {</w:t>
      </w:r>
      <w:r>
        <w:br/>
      </w:r>
      <w:r>
        <w:rPr>
          <w:rStyle w:val="VerbatimChar"/>
        </w:rPr>
        <w:t xml:space="preserve">        'mitdb':     {'low': 0.5, 'high': 50},  # ECG</w:t>
      </w:r>
      <w:r>
        <w:br/>
      </w:r>
      <w:r>
        <w:rPr>
          <w:rStyle w:val="VerbatimChar"/>
        </w:rPr>
        <w:t xml:space="preserve">        'mimic3wdb': {'low': 0.5, 'high': 50},  # ECG</w:t>
      </w:r>
      <w:r>
        <w:br/>
      </w:r>
      <w:r>
        <w:rPr>
          <w:rStyle w:val="VerbatimChar"/>
        </w:rPr>
        <w:t xml:space="preserve">        'sleep-edf': {'low': 0.5, 'high': 30},  # EEG</w:t>
      </w:r>
      <w:r>
        <w:br/>
      </w:r>
      <w:r>
        <w:rPr>
          <w:rStyle w:val="VerbatimChar"/>
        </w:rPr>
        <w:t xml:space="preserve">    }</w:t>
      </w:r>
      <w:r>
        <w:br/>
      </w:r>
      <w:r>
        <w:rPr>
          <w:rStyle w:val="VerbatimChar"/>
        </w:rPr>
        <w:t xml:space="preserve">    params = filter_params.get(database_name)</w:t>
      </w:r>
      <w:r>
        <w:br/>
      </w:r>
      <w:r>
        <w:rPr>
          <w:rStyle w:val="VerbatimChar"/>
        </w:rPr>
        <w:t xml:space="preserve">    lowcut, highcut = params['low'], params['high']</w:t>
      </w:r>
      <w:r>
        <w:br/>
      </w:r>
      <w:r>
        <w:br/>
      </w:r>
      <w:r>
        <w:rPr>
          <w:rStyle w:val="VerbatimChar"/>
        </w:rPr>
        <w:t xml:space="preserve">    nyq = 0.5 * fs</w:t>
      </w:r>
      <w:r>
        <w:br/>
      </w:r>
      <w:r>
        <w:rPr>
          <w:rStyle w:val="VerbatimChar"/>
        </w:rPr>
        <w:t xml:space="preserve">    low, high = lowcut / nyq, highcut / nyq</w:t>
      </w:r>
      <w:r>
        <w:br/>
      </w:r>
      <w:r>
        <w:rPr>
          <w:rStyle w:val="VerbatimChar"/>
        </w:rPr>
        <w:t xml:space="preserve">    b, a = butter(order, [low, high], btype='band')</w:t>
      </w:r>
      <w:r>
        <w:br/>
      </w:r>
      <w:r>
        <w:rPr>
          <w:rStyle w:val="VerbatimChar"/>
        </w:rPr>
        <w:t xml:space="preserve">    return lfilter(b, a, signal, axis=0)</w:t>
      </w:r>
    </w:p>
    <w:bookmarkEnd w:id="30"/>
    <w:bookmarkEnd w:id="31"/>
    <w:bookmarkStart w:id="32" w:name="signal-normalization"/>
    <w:p>
      <w:pPr>
        <w:pStyle w:val="Heading3"/>
      </w:pPr>
      <w:r>
        <w:t xml:space="preserve">Signal Normalization</w:t>
      </w:r>
    </w:p>
    <w:p>
      <w:pPr>
        <w:pStyle w:val="FirstParagraph"/>
      </w:pPr>
      <w:r>
        <w:t xml:space="preserve">To address amplitude variations across different recording devices and patient populations, we apply z-score normalization:</w:t>
      </w:r>
    </w:p>
    <w:p>
      <w:pPr>
        <w:pStyle w:val="BodyText"/>
      </w:pPr>
      <m:oMathPara>
        <m:oMathParaPr>
          <m:jc m:val="center"/>
        </m:oMathParaPr>
        <m:oMath>
          <m:sSub>
            <m:e>
              <m:r>
                <m:t>x</m:t>
              </m:r>
            </m:e>
            <m:sub>
              <m:r>
                <m:t>n</m:t>
              </m:r>
              <m:r>
                <m:t>o</m:t>
              </m:r>
              <m:r>
                <m:t>r</m:t>
              </m:r>
              <m:r>
                <m:t>m</m:t>
              </m:r>
            </m:sub>
          </m:sSub>
          <m:r>
            <m:rPr>
              <m:sty m:val="p"/>
            </m:rPr>
            <m:t>=</m:t>
          </m:r>
          <m:f>
            <m:fPr>
              <m:type m:val="bar"/>
            </m:fPr>
            <m:num>
              <m:r>
                <m:t>x</m:t>
              </m:r>
              <m:r>
                <m:rPr>
                  <m:sty m:val="p"/>
                </m:rPr>
                <m:t>−</m:t>
              </m:r>
              <m:r>
                <m:t>μ</m:t>
              </m:r>
            </m:num>
            <m:den>
              <m:r>
                <m:t>σ</m:t>
              </m:r>
            </m:den>
          </m:f>
        </m:oMath>
      </m:oMathPara>
    </w:p>
    <w:p>
      <w:pPr>
        <w:pStyle w:val="FirstParagraph"/>
      </w:pPr>
      <w:r>
        <w:t xml:space="preserve">where</w:t>
      </w:r>
      <w:r>
        <w:t xml:space="preserve"> </w:t>
      </w:r>
      <m:oMath>
        <m:r>
          <m:t>μ</m:t>
        </m:r>
      </m:oMath>
      <w:r>
        <w:t xml:space="preserve"> </w:t>
      </w:r>
      <w:r>
        <w:t xml:space="preserve">and</w:t>
      </w:r>
      <w:r>
        <w:t xml:space="preserve"> </w:t>
      </w:r>
      <m:oMath>
        <m:r>
          <m:t>σ</m:t>
        </m:r>
      </m:oMath>
      <w:r>
        <w:t xml:space="preserve"> </w:t>
      </w:r>
      <w:r>
        <w:t xml:space="preserve">represent the mean and standard deviation of the signal segment, respectively.</w:t>
      </w:r>
    </w:p>
    <w:bookmarkEnd w:id="32"/>
    <w:bookmarkStart w:id="35" w:name="X96811a04b1ee67720ebd72365ffa632362b29cc"/>
    <w:p>
      <w:pPr>
        <w:pStyle w:val="Heading3"/>
      </w:pPr>
      <w:r>
        <w:t xml:space="preserve">Sampling Rate Handling and Modality-Specific Segmentation</w:t>
      </w:r>
    </w:p>
    <w:p>
      <w:pPr>
        <w:pStyle w:val="FirstParagraph"/>
      </w:pPr>
      <w:r>
        <w:t xml:space="preserve">Our approach preserves native sampling rates rather than resampling all signals to a uniform frequency. This design decision avoids interpolation artifacts that could distort diagnostically relevant waveform morphologies. To maintain temporal consistency across datasets while respecting native sampling rates, we employ fixed-sample windowing: all signals are segmented into 3000-sample windows. This approach results in dataset-specific temporal durations that align with physiological timescales appropriate to each modality.</w:t>
      </w:r>
    </w:p>
    <w:p>
      <w:pPr>
        <w:pStyle w:val="BodyText"/>
      </w:pPr>
      <w:r>
        <w:t xml:space="preserve">Table </w:t>
      </w:r>
      <w:hyperlink w:anchor="tab:segmentation_params">
        <w:r>
          <w:rPr>
            <w:rStyle w:val="Hyperlink"/>
          </w:rPr>
          <w:t xml:space="preserve">2</w:t>
        </w:r>
      </w:hyperlink>
      <w:r>
        <w:t xml:space="preserve"> </w:t>
      </w:r>
      <w:r>
        <w:t xml:space="preserve">details the segmentation strategy per dataset.</w:t>
      </w:r>
    </w:p>
    <w:bookmarkStart w:id="33" w:name="tab:segmentation_params"/>
    <w:p>
      <w:pPr>
        <w:pStyle w:val="TableCaption"/>
      </w:pPr>
      <w:r>
        <w:t xml:space="preserve">Dataset-Specific Segmentation Parameters</w:t>
      </w:r>
    </w:p>
    <w:tbl>
      <w:tblPr>
        <w:tblStyle w:val="Table"/>
        <w:tblW w:type="auto" w:w="0"/>
        <w:tblLook w:firstRow="1" w:lastRow="0" w:firstColumn="0" w:lastColumn="0" w:noHBand="0" w:noVBand="0" w:val="0020"/>
        <w:tblCaption w:val="Dataset-Specific Segmentation Parameters"/>
      </w:tblPr>
      <w:tblGrid>
        <w:gridCol w:w="1584"/>
        <w:gridCol w:w="1584"/>
        <w:gridCol w:w="1584"/>
        <w:gridCol w:w="1584"/>
        <w:gridCol w:w="1584"/>
      </w:tblGrid>
      <w:tr>
        <w:trPr>
          <w:tblHeader w:val="true"/>
        </w:trPr>
        <w:tc>
          <w:tcPr/>
          <w:p>
            <w:pPr>
              <w:pStyle w:val="Compact"/>
              <w:jc w:val="left"/>
            </w:pPr>
            <w:r>
              <w:rPr>
                <w:bCs/>
                <w:b/>
              </w:rPr>
              <w:t xml:space="preserve">Dataset</w:t>
            </w:r>
          </w:p>
        </w:tc>
        <w:tc>
          <w:tcPr/>
          <w:p>
            <w:pPr>
              <w:pStyle w:val="Compact"/>
              <w:jc w:val="center"/>
            </w:pPr>
            <w:r>
              <w:rPr>
                <w:bCs/>
                <w:b/>
              </w:rPr>
              <w:t xml:space="preserve">Fs (Hz)</w:t>
            </w:r>
          </w:p>
        </w:tc>
        <w:tc>
          <w:tcPr/>
          <w:p>
            <w:pPr>
              <w:pStyle w:val="Compact"/>
              <w:jc w:val="center"/>
            </w:pPr>
            <w:r>
              <w:rPr>
                <w:bCs/>
                <w:b/>
              </w:rPr>
              <w:t xml:space="preserve">Window</w:t>
            </w:r>
          </w:p>
        </w:tc>
        <w:tc>
          <w:tcPr/>
          <w:p>
            <w:pPr>
              <w:pStyle w:val="Compact"/>
              <w:jc w:val="center"/>
            </w:pPr>
            <w:r>
              <w:rPr>
                <w:bCs/>
                <w:b/>
              </w:rPr>
              <w:t xml:space="preserve">Duration</w:t>
            </w:r>
          </w:p>
        </w:tc>
        <w:tc>
          <w:tcPr/>
          <w:p>
            <w:pPr>
              <w:pStyle w:val="Compact"/>
              <w:jc w:val="left"/>
            </w:pPr>
            <w:r>
              <w:rPr>
                <w:bCs/>
                <w:b/>
              </w:rPr>
              <w:t xml:space="preserve">Clinical Relevance</w:t>
            </w:r>
          </w:p>
        </w:tc>
      </w:tr>
      <w:tr>
        <w:tc>
          <w:tcPr/>
          <w:p>
            <w:pPr>
              <w:pStyle w:val="Compact"/>
              <w:jc w:val="left"/>
            </w:pPr>
            <w:r>
              <w:t xml:space="preserve">MIT-BIH</w:t>
            </w:r>
          </w:p>
        </w:tc>
        <w:tc>
          <w:tcPr/>
          <w:p>
            <w:pPr>
              <w:pStyle w:val="Compact"/>
              <w:jc w:val="center"/>
            </w:pPr>
            <w:r>
              <w:t xml:space="preserve">360</w:t>
            </w:r>
          </w:p>
        </w:tc>
        <w:tc>
          <w:tcPr/>
          <w:p>
            <w:pPr>
              <w:pStyle w:val="Compact"/>
              <w:jc w:val="center"/>
            </w:pPr>
            <w:r>
              <w:t xml:space="preserve">3000</w:t>
            </w:r>
          </w:p>
        </w:tc>
        <w:tc>
          <w:tcPr/>
          <w:p>
            <w:pPr>
              <w:pStyle w:val="Compact"/>
              <w:jc w:val="center"/>
            </w:pPr>
            <w:r>
              <w:t xml:space="preserve">8.33s</w:t>
            </w:r>
          </w:p>
        </w:tc>
        <w:tc>
          <w:tcPr/>
          <w:p>
            <w:pPr>
              <w:pStyle w:val="Compact"/>
              <w:jc w:val="left"/>
            </w:pPr>
            <w:r>
              <w:t xml:space="preserve">Multiple cardiac cycles captured</w:t>
            </w:r>
          </w:p>
        </w:tc>
      </w:tr>
      <w:tr>
        <w:tc>
          <w:tcPr/>
          <w:p>
            <w:pPr>
              <w:pStyle w:val="Compact"/>
              <w:jc w:val="left"/>
            </w:pPr>
            <w:r>
              <w:t xml:space="preserve">Sleep-EDF</w:t>
            </w:r>
          </w:p>
        </w:tc>
        <w:tc>
          <w:tcPr/>
          <w:p>
            <w:pPr>
              <w:pStyle w:val="Compact"/>
              <w:jc w:val="center"/>
            </w:pPr>
            <w:r>
              <w:t xml:space="preserve">100</w:t>
            </w:r>
          </w:p>
        </w:tc>
        <w:tc>
          <w:tcPr/>
          <w:p>
            <w:pPr>
              <w:pStyle w:val="Compact"/>
              <w:jc w:val="center"/>
            </w:pPr>
            <w:r>
              <w:t xml:space="preserve">3000</w:t>
            </w:r>
          </w:p>
        </w:tc>
        <w:tc>
          <w:tcPr/>
          <w:p>
            <w:pPr>
              <w:pStyle w:val="Compact"/>
              <w:jc w:val="center"/>
            </w:pPr>
            <w:r>
              <w:t xml:space="preserve">30s</w:t>
            </w:r>
          </w:p>
        </w:tc>
        <w:tc>
          <w:tcPr/>
          <w:p>
            <w:pPr>
              <w:pStyle w:val="Compact"/>
              <w:jc w:val="left"/>
            </w:pPr>
            <w:r>
              <w:t xml:space="preserve">R&amp;K standard epoch duration</w:t>
            </w:r>
          </w:p>
        </w:tc>
      </w:tr>
      <w:tr>
        <w:tc>
          <w:tcPr/>
          <w:p>
            <w:pPr>
              <w:pStyle w:val="Compact"/>
              <w:jc w:val="left"/>
            </w:pPr>
            <w:r>
              <w:t xml:space="preserve">MIMIC-III</w:t>
            </w:r>
          </w:p>
        </w:tc>
        <w:tc>
          <w:tcPr/>
          <w:p>
            <w:pPr>
              <w:pStyle w:val="Compact"/>
              <w:jc w:val="center"/>
            </w:pPr>
            <w:r>
              <w:t xml:space="preserve">Variable</w:t>
            </w:r>
          </w:p>
        </w:tc>
        <w:tc>
          <w:tcPr/>
          <w:p>
            <w:pPr>
              <w:pStyle w:val="Compact"/>
              <w:jc w:val="center"/>
            </w:pPr>
            <w:r>
              <w:t xml:space="preserve">3000</w:t>
            </w:r>
          </w:p>
        </w:tc>
        <w:tc>
          <w:tcPr/>
          <w:p>
            <w:pPr>
              <w:pStyle w:val="Compact"/>
              <w:jc w:val="center"/>
            </w:pPr>
            <w:r>
              <w:t xml:space="preserve">Variable</w:t>
            </w:r>
          </w:p>
        </w:tc>
        <w:tc>
          <w:tcPr/>
          <w:p>
            <w:pPr>
              <w:pStyle w:val="Compact"/>
              <w:jc w:val="left"/>
            </w:pPr>
            <w:r>
              <w:t xml:space="preserve">ICU waveform</w:t>
            </w:r>
          </w:p>
        </w:tc>
      </w:tr>
      <w:tr>
        <w:tc>
          <w:tcPr/>
          <w:p>
            <w:pPr>
              <w:pStyle w:val="Compact"/>
            </w:pPr>
          </w:p>
        </w:tc>
        <w:tc>
          <w:tcPr/>
          <w:p>
            <w:pPr>
              <w:pStyle w:val="Compact"/>
              <w:jc w:val="center"/>
            </w:pPr>
            <w:r>
              <w:t xml:space="preserve">(125–500)</w:t>
            </w:r>
          </w:p>
        </w:tc>
        <w:tc>
          <w:tcPr/>
          <w:p>
            <w:pPr>
              <w:pStyle w:val="Compact"/>
            </w:pPr>
          </w:p>
        </w:tc>
        <w:tc>
          <w:tcPr/>
          <w:p>
            <w:pPr>
              <w:pStyle w:val="Compact"/>
              <w:jc w:val="center"/>
            </w:pPr>
            <w:r>
              <w:t xml:space="preserve">(6–24s)</w:t>
            </w:r>
          </w:p>
        </w:tc>
        <w:tc>
          <w:tcPr/>
          <w:p>
            <w:pPr>
              <w:pStyle w:val="Compact"/>
              <w:jc w:val="left"/>
            </w:pPr>
            <w:r>
              <w:t xml:space="preserve">context-dependent</w:t>
            </w:r>
          </w:p>
        </w:tc>
      </w:tr>
    </w:tbl>
    <w:bookmarkEnd w:id="33"/>
    <w:p>
      <w:pPr>
        <w:pStyle w:val="BodyText"/>
      </w:pPr>
      <w:r>
        <w:rPr>
          <w:bCs/>
          <w:b/>
        </w:rPr>
        <w:t xml:space="preserve">ECG Segmentation:</w:t>
      </w:r>
      <w:r>
        <w:t xml:space="preserve"> </w:t>
      </w:r>
      <w:r>
        <w:t xml:space="preserve">For cardiac signals (MIT-BIH, MIMIC-III), the 8.33-second windows at 360 Hz capture approximately 8–12 heartbeats at normal sinus rhythm, providing sufficient context for arrhythmia pattern recognition while maintaining temporal locality.</w:t>
      </w:r>
    </w:p>
    <w:p>
      <w:pPr>
        <w:pStyle w:val="BodyText"/>
      </w:pPr>
      <w:r>
        <w:rPr>
          <w:bCs/>
          <w:b/>
        </w:rPr>
        <w:t xml:space="preserve">EEG Segmentation:</w:t>
      </w:r>
      <w:r>
        <w:t xml:space="preserve"> </w:t>
      </w:r>
      <w:r>
        <w:t xml:space="preserve">Sleep-EDF signals use 30-second epochs, adhering to the Rechtschaffen and Kales standard for sleep stage scoring</w:t>
      </w:r>
      <w:r>
        <w:t xml:space="preserve"> </w:t>
      </w:r>
      <w:r>
        <w:t xml:space="preserve">. This duration captures multiple complete oscillatory cycles across all sleep-relevant frequency bands.</w:t>
      </w:r>
    </w:p>
    <w:p>
      <w:pPr>
        <w:pStyle w:val="BodyText"/>
      </w:pPr>
      <w:r>
        <w:t xml:space="preserve">All segmentation uses 50% overlap to ensure continuous coverage and capture transitional patterns at window boundaries:</w:t>
      </w:r>
    </w:p>
    <w:bookmarkStart w:id="34" w:name="lst:segment"/>
    <w:p>
      <w:pPr>
        <w:pStyle w:val="SourceCode"/>
      </w:pPr>
      <w:r>
        <w:rPr>
          <w:rStyle w:val="VerbatimChar"/>
        </w:rPr>
        <w:t xml:space="preserve">def segment_signal_data(signal, window_size=3000, overlap=0.5):</w:t>
      </w:r>
      <w:r>
        <w:br/>
      </w:r>
      <w:r>
        <w:rPr>
          <w:rStyle w:val="VerbatimChar"/>
        </w:rPr>
        <w:t xml:space="preserve">    step_size = int(window_size * (1 - overlap))</w:t>
      </w:r>
      <w:r>
        <w:br/>
      </w:r>
      <w:r>
        <w:rPr>
          <w:rStyle w:val="VerbatimChar"/>
        </w:rPr>
        <w:t xml:space="preserve">    segments = []</w:t>
      </w:r>
      <w:r>
        <w:br/>
      </w:r>
      <w:r>
        <w:rPr>
          <w:rStyle w:val="VerbatimChar"/>
        </w:rPr>
        <w:t xml:space="preserve">    for i in range(0, len(signal) - window_size + 1, step_size):</w:t>
      </w:r>
      <w:r>
        <w:br/>
      </w:r>
      <w:r>
        <w:rPr>
          <w:rStyle w:val="VerbatimChar"/>
        </w:rPr>
        <w:t xml:space="preserve">        segments.append(signal[i:i + window_size])</w:t>
      </w:r>
      <w:r>
        <w:br/>
      </w:r>
      <w:r>
        <w:rPr>
          <w:rStyle w:val="VerbatimChar"/>
        </w:rPr>
        <w:t xml:space="preserve">    return np.array(segments)</w:t>
      </w:r>
    </w:p>
    <w:bookmarkEnd w:id="34"/>
    <w:bookmarkEnd w:id="35"/>
    <w:bookmarkStart w:id="38" w:name="Xb53508e3b69d087bb7be21305f10e3e84a76405"/>
    <w:p>
      <w:pPr>
        <w:pStyle w:val="Heading3"/>
      </w:pPr>
      <w:r>
        <w:t xml:space="preserve">Multi-Lead Signal Handling and Lead Selection</w:t>
      </w:r>
    </w:p>
    <w:p>
      <w:pPr>
        <w:pStyle w:val="FirstParagraph"/>
      </w:pPr>
      <w:r>
        <w:t xml:space="preserve">Biomedical signal datasets contain varying numbers of recording channels (leads). To ensure consistent model input dimensionality across datasets and align with clinical practice in resource-constrained settings, we employ a</w:t>
      </w:r>
      <w:r>
        <w:t xml:space="preserve"> </w:t>
      </w:r>
      <w:r>
        <w:rPr>
          <w:bCs/>
          <w:b/>
        </w:rPr>
        <w:t xml:space="preserve">single-lead selection strategy</w:t>
      </w:r>
      <w:r>
        <w:t xml:space="preserve"> </w:t>
      </w:r>
      <w:r>
        <w:t xml:space="preserve">rather than multi-lead fusion.</w:t>
      </w:r>
    </w:p>
    <w:p>
      <w:pPr>
        <w:pStyle w:val="BodyText"/>
      </w:pPr>
      <w:r>
        <w:rPr>
          <w:bCs/>
          <w:b/>
        </w:rPr>
        <w:t xml:space="preserve">Lead Selection Rationale:</w:t>
      </w:r>
      <w:r>
        <w:t xml:space="preserve"> </w:t>
      </w:r>
      <w:r>
        <w:t xml:space="preserve">For each dataset, we selected the clinically most relevant lead based on standard diagnostic practices and device availability in underserved regions. Table </w:t>
      </w:r>
      <w:hyperlink w:anchor="tab:lead_selection">
        <w:r>
          <w:rPr>
            <w:rStyle w:val="Hyperlink"/>
          </w:rPr>
          <w:t xml:space="preserve">3</w:t>
        </w:r>
      </w:hyperlink>
      <w:r>
        <w:t xml:space="preserve"> </w:t>
      </w:r>
      <w:r>
        <w:t xml:space="preserve">details our lead selection strategy.</w:t>
      </w:r>
    </w:p>
    <w:bookmarkStart w:id="36" w:name="tab:lead_selection"/>
    <w:p>
      <w:pPr>
        <w:pStyle w:val="TableCaption"/>
      </w:pPr>
      <w:r>
        <w:t xml:space="preserve">Lead Selection Strategy Per Dataset</w:t>
      </w:r>
    </w:p>
    <w:tbl>
      <w:tblPr>
        <w:tblStyle w:val="Table"/>
        <w:tblW w:type="auto" w:w="0"/>
        <w:tblLook w:firstRow="0" w:lastRow="0" w:firstColumn="0" w:lastColumn="0" w:noHBand="0" w:noVBand="0" w:val="0000"/>
        <w:tblCaption w:val="Lead Selection Strategy Per Dataset"/>
      </w:tblPr>
      <w:tblGrid>
        <w:gridCol w:w="1980"/>
        <w:gridCol w:w="1980"/>
        <w:gridCol w:w="1980"/>
        <w:gridCol w:w="1980"/>
      </w:tblGrid>
      <w:tr>
        <w:tc>
          <w:tcPr/>
          <w:p>
            <w:pPr>
              <w:pStyle w:val="Compact"/>
              <w:jc w:val="left"/>
            </w:pPr>
            <w:r>
              <w:rPr>
                <w:bCs/>
                <w:b/>
              </w:rPr>
              <w:t xml:space="preserve">Dataset</w:t>
            </w:r>
          </w:p>
        </w:tc>
        <w:tc>
          <w:tcPr/>
          <w:p>
            <w:pPr>
              <w:pStyle w:val="Compact"/>
              <w:jc w:val="center"/>
            </w:pPr>
            <w:r>
              <w:rPr>
                <w:bCs/>
                <w:b/>
              </w:rPr>
              <w:t xml:space="preserve">Total</w:t>
            </w:r>
          </w:p>
        </w:tc>
        <w:tc>
          <w:tcPr/>
          <w:p>
            <w:pPr>
              <w:pStyle w:val="Compact"/>
              <w:jc w:val="center"/>
            </w:pPr>
            <w:r>
              <w:rPr>
                <w:bCs/>
                <w:b/>
              </w:rPr>
              <w:t xml:space="preserve">Selected</w:t>
            </w:r>
          </w:p>
        </w:tc>
        <w:tc>
          <w:tcPr/>
          <w:p>
            <w:pPr>
              <w:pStyle w:val="Compact"/>
              <w:jc w:val="left"/>
            </w:pPr>
            <w:r>
              <w:rPr>
                <w:bCs/>
                <w:b/>
              </w:rPr>
              <w:t xml:space="preserve">Clinical Rationale</w:t>
            </w:r>
          </w:p>
        </w:tc>
      </w:tr>
      <w:tr>
        <w:tc>
          <w:tcPr/>
          <w:p>
            <w:pPr>
              <w:pStyle w:val="Compact"/>
            </w:pPr>
          </w:p>
        </w:tc>
        <w:tc>
          <w:tcPr/>
          <w:p>
            <w:pPr>
              <w:pStyle w:val="Compact"/>
              <w:jc w:val="center"/>
            </w:pPr>
            <w:r>
              <w:rPr>
                <w:bCs/>
                <w:b/>
              </w:rPr>
              <w:t xml:space="preserve">Leads</w:t>
            </w:r>
          </w:p>
        </w:tc>
        <w:tc>
          <w:tcPr/>
          <w:p>
            <w:pPr>
              <w:pStyle w:val="Compact"/>
              <w:jc w:val="center"/>
            </w:pPr>
            <w:r>
              <w:rPr>
                <w:bCs/>
                <w:b/>
              </w:rPr>
              <w:t xml:space="preserve">Lead</w:t>
            </w:r>
          </w:p>
        </w:tc>
        <w:tc>
          <w:tcPr/>
          <w:p>
            <w:pPr>
              <w:pStyle w:val="Compact"/>
            </w:pPr>
          </w:p>
        </w:tc>
      </w:tr>
      <w:tr>
        <w:tc>
          <w:tcPr/>
          <w:p>
            <w:pPr>
              <w:pStyle w:val="Compact"/>
              <w:jc w:val="left"/>
            </w:pPr>
            <w:r>
              <w:t xml:space="preserve">MIT-BIH</w:t>
            </w:r>
          </w:p>
        </w:tc>
        <w:tc>
          <w:tcPr/>
          <w:p>
            <w:pPr>
              <w:pStyle w:val="Compact"/>
              <w:jc w:val="center"/>
            </w:pPr>
            <w:r>
              <w:t xml:space="preserve">2</w:t>
            </w:r>
          </w:p>
        </w:tc>
        <w:tc>
          <w:tcPr/>
          <w:p>
            <w:pPr>
              <w:pStyle w:val="Compact"/>
              <w:jc w:val="center"/>
            </w:pPr>
            <w:r>
              <w:t xml:space="preserve">MLII (0)</w:t>
            </w:r>
          </w:p>
        </w:tc>
        <w:tc>
          <w:tcPr/>
          <w:p>
            <w:pPr>
              <w:pStyle w:val="Compact"/>
              <w:jc w:val="left"/>
            </w:pPr>
            <w:r>
              <w:t xml:space="preserve">Modified limb lead II, standard for arrhythmia detection</w:t>
            </w:r>
          </w:p>
        </w:tc>
      </w:tr>
      <w:tr>
        <w:tc>
          <w:tcPr/>
          <w:p>
            <w:pPr>
              <w:pStyle w:val="Compact"/>
              <w:jc w:val="left"/>
            </w:pPr>
            <w:r>
              <w:t xml:space="preserve">Sleep-EDF</w:t>
            </w:r>
          </w:p>
        </w:tc>
        <w:tc>
          <w:tcPr/>
          <w:p>
            <w:pPr>
              <w:pStyle w:val="Compact"/>
              <w:jc w:val="center"/>
            </w:pPr>
            <w:r>
              <w:t xml:space="preserve">2 EEG</w:t>
            </w:r>
          </w:p>
        </w:tc>
        <w:tc>
          <w:tcPr/>
          <w:p>
            <w:pPr>
              <w:pStyle w:val="Compact"/>
              <w:jc w:val="center"/>
            </w:pPr>
            <w:r>
              <w:t xml:space="preserve">Fpz-Cz (0)</w:t>
            </w:r>
          </w:p>
        </w:tc>
        <w:tc>
          <w:tcPr/>
          <w:p>
            <w:pPr>
              <w:pStyle w:val="Compact"/>
              <w:jc w:val="left"/>
            </w:pPr>
            <w:r>
              <w:t xml:space="preserve">Primary channel for sleep stage classification</w:t>
            </w:r>
          </w:p>
        </w:tc>
      </w:tr>
      <w:tr>
        <w:tc>
          <w:tcPr/>
          <w:p>
            <w:pPr>
              <w:pStyle w:val="Compact"/>
              <w:jc w:val="left"/>
            </w:pPr>
            <w:r>
              <w:t xml:space="preserve">MIMIC-III</w:t>
            </w:r>
          </w:p>
        </w:tc>
        <w:tc>
          <w:tcPr/>
          <w:p>
            <w:pPr>
              <w:pStyle w:val="Compact"/>
              <w:jc w:val="center"/>
            </w:pPr>
            <w:r>
              <w:t xml:space="preserve">Variable</w:t>
            </w:r>
          </w:p>
        </w:tc>
        <w:tc>
          <w:tcPr/>
          <w:p>
            <w:pPr>
              <w:pStyle w:val="Compact"/>
              <w:jc w:val="center"/>
            </w:pPr>
            <w:r>
              <w:t xml:space="preserve">Lead 0</w:t>
            </w:r>
          </w:p>
        </w:tc>
        <w:tc>
          <w:tcPr/>
          <w:p>
            <w:pPr>
              <w:pStyle w:val="Compact"/>
              <w:jc w:val="left"/>
            </w:pPr>
            <w:r>
              <w:t xml:space="preserve">First available ICU monitoring lead</w:t>
            </w:r>
          </w:p>
        </w:tc>
      </w:tr>
    </w:tbl>
    <w:bookmarkEnd w:id="36"/>
    <w:p>
      <w:pPr>
        <w:pStyle w:val="BodyText"/>
      </w:pPr>
      <w:r>
        <w:t xml:space="preserve">This single-lead approach provides several advantages:</w:t>
      </w:r>
    </w:p>
    <w:p>
      <w:pPr>
        <w:numPr>
          <w:ilvl w:val="0"/>
          <w:numId w:val="1003"/>
        </w:numPr>
      </w:pPr>
      <w:r>
        <w:rPr>
          <w:bCs/>
          <w:b/>
        </w:rPr>
        <w:t xml:space="preserve">Consistent Input:</w:t>
      </w:r>
      <w:r>
        <w:t xml:space="preserve"> </w:t>
      </w:r>
      <w:r>
        <w:t xml:space="preserve">Uniform dimensionality</w:t>
      </w:r>
      <w:r>
        <w:t xml:space="preserve"> </w:t>
      </w:r>
      <m:oMath>
        <m:d>
          <m:dPr>
            <m:begChr m:val="("/>
            <m:endChr m:val=")"/>
            <m:sepChr m:val=""/>
            <m:grow/>
          </m:dPr>
          <m:e>
            <m:sSub>
              <m:e>
                <m:r>
                  <m:t>n</m:t>
                </m:r>
              </m:e>
              <m:sub>
                <m:r>
                  <m:t>s</m:t>
                </m:r>
                <m:r>
                  <m:t>a</m:t>
                </m:r>
                <m:r>
                  <m:t>m</m:t>
                </m:r>
                <m:r>
                  <m:t>p</m:t>
                </m:r>
                <m:r>
                  <m:t>l</m:t>
                </m:r>
                <m:r>
                  <m:t>e</m:t>
                </m:r>
                <m:r>
                  <m:t>s</m:t>
                </m:r>
              </m:sub>
            </m:sSub>
            <m:r>
              <m:rPr>
                <m:sty m:val="p"/>
              </m:rPr>
              <m:t>,</m:t>
            </m:r>
            <m:r>
              <m:t>3000</m:t>
            </m:r>
            <m:r>
              <m:rPr>
                <m:sty m:val="p"/>
              </m:rPr>
              <m:t>,</m:t>
            </m:r>
            <m:r>
              <m:t>1</m:t>
            </m:r>
          </m:e>
        </m:d>
      </m:oMath>
      <w:r>
        <w:t xml:space="preserve"> </w:t>
      </w:r>
      <w:r>
        <w:t xml:space="preserve">across all datasets</w:t>
      </w:r>
    </w:p>
    <w:p>
      <w:pPr>
        <w:numPr>
          <w:ilvl w:val="0"/>
          <w:numId w:val="1003"/>
        </w:numPr>
      </w:pPr>
      <w:r>
        <w:rPr>
          <w:bCs/>
          <w:b/>
        </w:rPr>
        <w:t xml:space="preserve">Clinical Validity:</w:t>
      </w:r>
      <w:r>
        <w:t xml:space="preserve"> </w:t>
      </w:r>
      <w:r>
        <w:t xml:space="preserve">Uses standard leads validated in clinical practice for each diagnostic task</w:t>
      </w:r>
    </w:p>
    <w:p>
      <w:pPr>
        <w:numPr>
          <w:ilvl w:val="0"/>
          <w:numId w:val="1003"/>
        </w:numPr>
      </w:pPr>
      <w:r>
        <w:rPr>
          <w:bCs/>
          <w:b/>
        </w:rPr>
        <w:t xml:space="preserve">Deployment Compatibility:</w:t>
      </w:r>
      <w:r>
        <w:t xml:space="preserve"> </w:t>
      </w:r>
      <w:r>
        <w:t xml:space="preserve">Aligns with single-lead portable ECG devices common in resource-limited settings (e.g., AliveCor KardiaMobile, handheld monitors)</w:t>
      </w:r>
    </w:p>
    <w:p>
      <w:pPr>
        <w:numPr>
          <w:ilvl w:val="0"/>
          <w:numId w:val="1003"/>
        </w:numPr>
      </w:pPr>
      <w:r>
        <w:rPr>
          <w:bCs/>
          <w:b/>
        </w:rPr>
        <w:t xml:space="preserve">Computational Efficiency:</w:t>
      </w:r>
      <w:r>
        <w:t xml:space="preserve"> </w:t>
      </w:r>
      <w:r>
        <w:t xml:space="preserve">Simpler architecture suitable for edge deployment</w:t>
      </w:r>
    </w:p>
    <w:p>
      <w:pPr>
        <w:numPr>
          <w:ilvl w:val="0"/>
          <w:numId w:val="1003"/>
        </w:numPr>
      </w:pPr>
      <w:r>
        <w:rPr>
          <w:bCs/>
          <w:b/>
        </w:rPr>
        <w:t xml:space="preserve">Interpretability:</w:t>
      </w:r>
      <w:r>
        <w:t xml:space="preserve"> </w:t>
      </w:r>
      <w:r>
        <w:t xml:space="preserve">Avoids black-box multi-lead fusion mechanisms</w:t>
      </w:r>
    </w:p>
    <w:p>
      <w:pPr>
        <w:pStyle w:val="FirstParagraph"/>
      </w:pPr>
      <w:r>
        <w:rPr>
          <w:bCs/>
          <w:b/>
        </w:rPr>
        <w:t xml:space="preserve">Alternative Approaches Considered:</w:t>
      </w:r>
    </w:p>
    <w:p>
      <w:pPr>
        <w:numPr>
          <w:ilvl w:val="0"/>
          <w:numId w:val="1004"/>
        </w:numPr>
      </w:pPr>
      <w:r>
        <w:rPr>
          <w:iCs/>
          <w:i/>
        </w:rPr>
        <w:t xml:space="preserve">Lead averaging:</w:t>
      </w:r>
      <w:r>
        <w:t xml:space="preserve"> </w:t>
      </w:r>
      <w:r>
        <w:t xml:space="preserve">Risks losing clinically important lead-specific features (e.g., ST segment changes visible only in specific leads)</w:t>
      </w:r>
    </w:p>
    <w:p>
      <w:pPr>
        <w:numPr>
          <w:ilvl w:val="0"/>
          <w:numId w:val="1004"/>
        </w:numPr>
      </w:pPr>
      <w:r>
        <w:rPr>
          <w:iCs/>
          <w:i/>
        </w:rPr>
        <w:t xml:space="preserve">Multi-channel LSTM input:</w:t>
      </w:r>
      <w:r>
        <w:t xml:space="preserve"> </w:t>
      </w:r>
      <w:r>
        <w:t xml:space="preserve">Requires larger models and more training data; incompatible with single-lead portable devices</w:t>
      </w:r>
    </w:p>
    <w:p>
      <w:pPr>
        <w:numPr>
          <w:ilvl w:val="0"/>
          <w:numId w:val="1004"/>
        </w:numPr>
      </w:pPr>
      <w:r>
        <w:rPr>
          <w:iCs/>
          <w:i/>
        </w:rPr>
        <w:t xml:space="preserve">Concatenation of all leads:</w:t>
      </w:r>
      <w:r>
        <w:t xml:space="preserve"> </w:t>
      </w:r>
      <w:r>
        <w:t xml:space="preserve">Creates inconsistent input dimensions across datasets with varying lead counts</w:t>
      </w:r>
    </w:p>
    <w:p>
      <w:pPr>
        <w:pStyle w:val="FirstParagraph"/>
      </w:pPr>
      <w:r>
        <w:t xml:space="preserve">The implementation extracts the appropriate lead during preprocessing:</w:t>
      </w:r>
    </w:p>
    <w:bookmarkStart w:id="37" w:name="lst:lead_select"/>
    <w:p>
      <w:pPr>
        <w:pStyle w:val="SourceCode"/>
      </w:pPr>
      <w:r>
        <w:rPr>
          <w:rStyle w:val="VerbatimChar"/>
        </w:rPr>
        <w:t xml:space="preserve">def select_lead(signal, database_name):</w:t>
      </w:r>
      <w:r>
        <w:br/>
      </w:r>
      <w:r>
        <w:rPr>
          <w:rStyle w:val="VerbatimChar"/>
        </w:rPr>
        <w:t xml:space="preserve">    """Select clinically relevant lead per dataset"""</w:t>
      </w:r>
      <w:r>
        <w:br/>
      </w:r>
      <w:r>
        <w:rPr>
          <w:rStyle w:val="VerbatimChar"/>
        </w:rPr>
        <w:t xml:space="preserve">    lead_config = {</w:t>
      </w:r>
      <w:r>
        <w:br/>
      </w:r>
      <w:r>
        <w:rPr>
          <w:rStyle w:val="VerbatimChar"/>
        </w:rPr>
        <w:t xml:space="preserve">        'mitdb': 0,      # MLII for arrhythmia</w:t>
      </w:r>
      <w:r>
        <w:br/>
      </w:r>
      <w:r>
        <w:rPr>
          <w:rStyle w:val="VerbatimChar"/>
        </w:rPr>
        <w:t xml:space="preserve">        'sleep-edf': 0,  # Fpz-Cz for sleep staging</w:t>
      </w:r>
      <w:r>
        <w:br/>
      </w:r>
      <w:r>
        <w:rPr>
          <w:rStyle w:val="VerbatimChar"/>
        </w:rPr>
        <w:t xml:space="preserve">        'mimic3wdb': 0   # First ICU lead</w:t>
      </w:r>
      <w:r>
        <w:br/>
      </w:r>
      <w:r>
        <w:rPr>
          <w:rStyle w:val="VerbatimChar"/>
        </w:rPr>
        <w:t xml:space="preserve">    }</w:t>
      </w:r>
      <w:r>
        <w:br/>
      </w:r>
      <w:r>
        <w:rPr>
          <w:rStyle w:val="VerbatimChar"/>
        </w:rPr>
        <w:t xml:space="preserve">    lead_idx = lead_config.get(database_name, 0)</w:t>
      </w:r>
      <w:r>
        <w:br/>
      </w:r>
      <w:r>
        <w:br/>
      </w:r>
      <w:r>
        <w:rPr>
          <w:rStyle w:val="VerbatimChar"/>
        </w:rPr>
        <w:t xml:space="preserve">    # Return shape (n_samples, 1)</w:t>
      </w:r>
      <w:r>
        <w:br/>
      </w:r>
      <w:r>
        <w:rPr>
          <w:rStyle w:val="VerbatimChar"/>
        </w:rPr>
        <w:t xml:space="preserve">    if signal.ndim == 1:</w:t>
      </w:r>
      <w:r>
        <w:br/>
      </w:r>
      <w:r>
        <w:rPr>
          <w:rStyle w:val="VerbatimChar"/>
        </w:rPr>
        <w:t xml:space="preserve">        return signal.reshape(-1, 1)</w:t>
      </w:r>
      <w:r>
        <w:br/>
      </w:r>
      <w:r>
        <w:rPr>
          <w:rStyle w:val="VerbatimChar"/>
        </w:rPr>
        <w:t xml:space="preserve">    return signal[:, lead_idx:lead_idx+1]</w:t>
      </w:r>
    </w:p>
    <w:bookmarkEnd w:id="37"/>
    <w:bookmarkEnd w:id="38"/>
    <w:bookmarkEnd w:id="39"/>
    <w:bookmarkStart w:id="44" w:name="deep-learning-architecture"/>
    <w:p>
      <w:pPr>
        <w:pStyle w:val="Heading2"/>
      </w:pPr>
      <w:r>
        <w:t xml:space="preserve">Deep Learning Architecture</w:t>
      </w:r>
    </w:p>
    <w:p>
      <w:pPr>
        <w:pStyle w:val="FirstParagraph"/>
      </w:pPr>
      <w:r>
        <w:t xml:space="preserve">The preprocessing pipeline described above (Sections III.A.1–III.A.4) ensures that despite differences in native sampling rates and physiological characteristics, all signals are transformed into consistent feature representations suitable for unified LSTM processing. The modality-adaptive filtering preserves diagnostically relevant frequency content while the fixed-sample windowing maintains architectural consistency across datasets.</w:t>
      </w:r>
    </w:p>
    <w:p>
      <w:pPr>
        <w:pStyle w:val="BodyText"/>
      </w:pPr>
      <w:r>
        <w:t xml:space="preserve">The classification module employs a hybrid architecture combining LSTM layers for temporal feature extraction with dense layers for final classification. The network architecture is detailed in Table </w:t>
      </w:r>
      <w:hyperlink w:anchor="tab:architecture">
        <w:r>
          <w:rPr>
            <w:rStyle w:val="Hyperlink"/>
          </w:rPr>
          <w:t xml:space="preserve">4</w:t>
        </w:r>
      </w:hyperlink>
      <w:r>
        <w:t xml:space="preserve">.</w:t>
      </w:r>
    </w:p>
    <w:bookmarkStart w:id="40" w:name="tab:architecture"/>
    <w:p>
      <w:pPr>
        <w:pStyle w:val="TableCaption"/>
      </w:pPr>
      <w:r>
        <w:t xml:space="preserve">Neural Network Architecture Specifications for Single-Lead, Single-Label Classification</w:t>
      </w:r>
    </w:p>
    <w:tbl>
      <w:tblPr>
        <w:tblStyle w:val="Table"/>
        <w:tblW w:type="auto" w:w="0"/>
        <w:tblLook w:firstRow="1" w:lastRow="0" w:firstColumn="0" w:lastColumn="0" w:noHBand="0" w:noVBand="0" w:val="0020"/>
        <w:tblCaption w:val="Neural Network Architecture Specifications for Single-Lead, Single-Label Classification"/>
      </w:tblPr>
      <w:tblGrid>
        <w:gridCol w:w="1980"/>
        <w:gridCol w:w="1980"/>
        <w:gridCol w:w="1980"/>
        <w:gridCol w:w="1980"/>
      </w:tblGrid>
      <w:tr>
        <w:trPr>
          <w:tblHeader w:val="true"/>
        </w:trPr>
        <w:tc>
          <w:tcPr/>
          <w:p>
            <w:pPr>
              <w:pStyle w:val="Compact"/>
              <w:jc w:val="left"/>
            </w:pPr>
            <w:r>
              <w:t xml:space="preserve">Layer Type</w:t>
            </w:r>
          </w:p>
        </w:tc>
        <w:tc>
          <w:tcPr/>
          <w:p>
            <w:pPr>
              <w:pStyle w:val="Compact"/>
              <w:jc w:val="left"/>
            </w:pPr>
            <w:r>
              <w:t xml:space="preserve">Output Shape</w:t>
            </w:r>
          </w:p>
        </w:tc>
        <w:tc>
          <w:tcPr/>
          <w:p>
            <w:pPr>
              <w:pStyle w:val="Compact"/>
              <w:jc w:val="left"/>
            </w:pPr>
            <w:r>
              <w:t xml:space="preserve">Parameters</w:t>
            </w:r>
          </w:p>
        </w:tc>
        <w:tc>
          <w:tcPr/>
          <w:p>
            <w:pPr>
              <w:pStyle w:val="Compact"/>
              <w:jc w:val="left"/>
            </w:pPr>
            <w:r>
              <w:t xml:space="preserve">Activation</w:t>
            </w:r>
          </w:p>
        </w:tc>
      </w:tr>
      <w:tr>
        <w:tc>
          <w:tcPr/>
          <w:p>
            <w:pPr>
              <w:pStyle w:val="Compact"/>
              <w:jc w:val="left"/>
            </w:pPr>
            <w:r>
              <w:t xml:space="preserve">Input</w:t>
            </w:r>
          </w:p>
        </w:tc>
        <w:tc>
          <w:tcPr/>
          <w:p>
            <w:pPr>
              <w:pStyle w:val="Compact"/>
              <w:jc w:val="left"/>
            </w:pPr>
            <w:r>
              <w:t xml:space="preserve">(None, 3000, 1)</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LSTM-1</w:t>
            </w:r>
          </w:p>
        </w:tc>
        <w:tc>
          <w:tcPr/>
          <w:p>
            <w:pPr>
              <w:pStyle w:val="Compact"/>
              <w:jc w:val="left"/>
            </w:pPr>
            <w:r>
              <w:t xml:space="preserve">(None, 3000, 128)</w:t>
            </w:r>
          </w:p>
        </w:tc>
        <w:tc>
          <w:tcPr/>
          <w:p>
            <w:pPr>
              <w:pStyle w:val="Compact"/>
              <w:jc w:val="left"/>
            </w:pPr>
            <w:r>
              <w:t xml:space="preserve">66,560</w:t>
            </w:r>
          </w:p>
        </w:tc>
        <w:tc>
          <w:tcPr/>
          <w:p>
            <w:pPr>
              <w:pStyle w:val="Compact"/>
              <w:jc w:val="left"/>
            </w:pPr>
            <w:r>
              <w:t xml:space="preserve">tanh</w:t>
            </w:r>
          </w:p>
        </w:tc>
      </w:tr>
      <w:tr>
        <w:tc>
          <w:tcPr/>
          <w:p>
            <w:pPr>
              <w:pStyle w:val="Compact"/>
              <w:jc w:val="left"/>
            </w:pPr>
            <w:r>
              <w:t xml:space="preserve">Dropout-1</w:t>
            </w:r>
          </w:p>
        </w:tc>
        <w:tc>
          <w:tcPr/>
          <w:p>
            <w:pPr>
              <w:pStyle w:val="Compact"/>
              <w:jc w:val="left"/>
            </w:pPr>
            <w:r>
              <w:t xml:space="preserve">(None, 3000, 128)</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LSTM-2</w:t>
            </w:r>
          </w:p>
        </w:tc>
        <w:tc>
          <w:tcPr/>
          <w:p>
            <w:pPr>
              <w:pStyle w:val="Compact"/>
              <w:jc w:val="left"/>
            </w:pPr>
            <w:r>
              <w:t xml:space="preserve">(None, 64)</w:t>
            </w:r>
          </w:p>
        </w:tc>
        <w:tc>
          <w:tcPr/>
          <w:p>
            <w:pPr>
              <w:pStyle w:val="Compact"/>
              <w:jc w:val="left"/>
            </w:pPr>
            <w:r>
              <w:t xml:space="preserve">49,408</w:t>
            </w:r>
          </w:p>
        </w:tc>
        <w:tc>
          <w:tcPr/>
          <w:p>
            <w:pPr>
              <w:pStyle w:val="Compact"/>
              <w:jc w:val="left"/>
            </w:pPr>
            <w:r>
              <w:t xml:space="preserve">tanh</w:t>
            </w:r>
          </w:p>
        </w:tc>
      </w:tr>
      <w:tr>
        <w:tc>
          <w:tcPr/>
          <w:p>
            <w:pPr>
              <w:pStyle w:val="Compact"/>
              <w:jc w:val="left"/>
            </w:pPr>
            <w:r>
              <w:t xml:space="preserve">Dropout-2</w:t>
            </w:r>
          </w:p>
        </w:tc>
        <w:tc>
          <w:tcPr/>
          <w:p>
            <w:pPr>
              <w:pStyle w:val="Compact"/>
              <w:jc w:val="left"/>
            </w:pPr>
            <w:r>
              <w:t xml:space="preserve">(None, 64)</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Dense-1</w:t>
            </w:r>
          </w:p>
        </w:tc>
        <w:tc>
          <w:tcPr/>
          <w:p>
            <w:pPr>
              <w:pStyle w:val="Compact"/>
              <w:jc w:val="left"/>
            </w:pPr>
            <w:r>
              <w:t xml:space="preserve">(None, 32)</w:t>
            </w:r>
          </w:p>
        </w:tc>
        <w:tc>
          <w:tcPr/>
          <w:p>
            <w:pPr>
              <w:pStyle w:val="Compact"/>
              <w:jc w:val="left"/>
            </w:pPr>
            <w:r>
              <w:t xml:space="preserve">2,080</w:t>
            </w:r>
          </w:p>
        </w:tc>
        <w:tc>
          <w:tcPr/>
          <w:p>
            <w:pPr>
              <w:pStyle w:val="Compact"/>
              <w:jc w:val="left"/>
            </w:pPr>
            <w:r>
              <w:t xml:space="preserve">ReLU</w:t>
            </w:r>
          </w:p>
        </w:tc>
      </w:tr>
      <w:tr>
        <w:tc>
          <w:tcPr/>
          <w:p>
            <w:pPr>
              <w:pStyle w:val="Compact"/>
              <w:jc w:val="left"/>
            </w:pPr>
            <w:r>
              <w:t xml:space="preserve">Dense-2</w:t>
            </w:r>
          </w:p>
        </w:tc>
        <w:tc>
          <w:tcPr/>
          <w:p>
            <w:pPr>
              <w:pStyle w:val="Compact"/>
              <w:jc w:val="left"/>
            </w:pPr>
            <w:r>
              <w:t xml:space="preserve">(None, n_classes)</w:t>
            </w:r>
          </w:p>
        </w:tc>
        <w:tc>
          <w:tcPr/>
          <w:p>
            <w:pPr>
              <w:pStyle w:val="Compact"/>
              <w:jc w:val="left"/>
            </w:pPr>
            <w:r>
              <w:t xml:space="preserve">33×n_classes</w:t>
            </w:r>
          </w:p>
        </w:tc>
        <w:tc>
          <w:tcPr/>
          <w:p>
            <w:pPr>
              <w:pStyle w:val="Compact"/>
              <w:jc w:val="left"/>
            </w:pPr>
            <w:r>
              <w:t xml:space="preserve">Softmax</w:t>
            </w:r>
          </w:p>
        </w:tc>
      </w:tr>
    </w:tbl>
    <w:bookmarkEnd w:id="40"/>
    <w:p>
      <w:pPr>
        <w:pStyle w:val="BodyText"/>
      </w:pPr>
      <w:r>
        <w:rPr>
          <w:bCs/>
          <w:b/>
        </w:rPr>
        <w:t xml:space="preserve">Input Specification:</w:t>
      </w:r>
      <w:r>
        <w:t xml:space="preserve"> </w:t>
      </w:r>
      <w:r>
        <w:t xml:space="preserve">The input layer accepts tensors of shape</w:t>
      </w:r>
      <w:r>
        <w:t xml:space="preserve"> </w:t>
      </w:r>
      <m:oMath>
        <m:d>
          <m:dPr>
            <m:begChr m:val="("/>
            <m:endChr m:val=")"/>
            <m:sepChr m:val=""/>
            <m:grow/>
          </m:dPr>
          <m:e>
            <m:r>
              <m:t>b</m:t>
            </m:r>
            <m:r>
              <m:t>a</m:t>
            </m:r>
            <m:r>
              <m:t>t</m:t>
            </m:r>
            <m:r>
              <m:t>c</m:t>
            </m:r>
            <m:r>
              <m:t>h</m:t>
            </m:r>
            <m:r>
              <m:rPr>
                <m:sty m:val="p"/>
              </m:rPr>
              <m:t>_</m:t>
            </m:r>
            <m:r>
              <m:t>s</m:t>
            </m:r>
            <m:r>
              <m:t>i</m:t>
            </m:r>
            <m:r>
              <m:t>z</m:t>
            </m:r>
            <m:r>
              <m:t>e</m:t>
            </m:r>
            <m:r>
              <m:rPr>
                <m:sty m:val="p"/>
              </m:rPr>
              <m:t>,</m:t>
            </m:r>
            <m:r>
              <m:t>3000</m:t>
            </m:r>
            <m:r>
              <m:rPr>
                <m:sty m:val="p"/>
              </m:rPr>
              <m:t>,</m:t>
            </m:r>
            <m:r>
              <m:t>1</m:t>
            </m:r>
          </m:e>
        </m:d>
      </m:oMath>
      <w:r>
        <w:t xml:space="preserve"> </w:t>
      </w:r>
      <w:r>
        <w:t xml:space="preserve">where:</w:t>
      </w:r>
    </w:p>
    <w:p>
      <w:pPr>
        <w:numPr>
          <w:ilvl w:val="0"/>
          <w:numId w:val="1005"/>
        </w:numPr>
      </w:pPr>
      <m:oMath>
        <m:r>
          <m:t>3000</m:t>
        </m:r>
      </m:oMath>
      <w:r>
        <w:t xml:space="preserve"> </w:t>
      </w:r>
      <w:r>
        <w:t xml:space="preserve">represents the fixed window size (timesteps)</w:t>
      </w:r>
    </w:p>
    <w:p>
      <w:pPr>
        <w:numPr>
          <w:ilvl w:val="0"/>
          <w:numId w:val="1005"/>
        </w:numPr>
      </w:pPr>
      <m:oMath>
        <m:r>
          <m:t>1</m:t>
        </m:r>
      </m:oMath>
      <w:r>
        <w:t xml:space="preserve"> </w:t>
      </w:r>
      <w:r>
        <w:t xml:space="preserve">represents a single selected lead (as described in Section III.A.4)</w:t>
      </w:r>
    </w:p>
    <w:p>
      <w:pPr>
        <w:pStyle w:val="FirstParagraph"/>
      </w:pPr>
      <w:r>
        <w:rPr>
          <w:bCs/>
          <w:b/>
        </w:rPr>
        <w:t xml:space="preserve">Output Specification:</w:t>
      </w:r>
      <w:r>
        <w:t xml:space="preserve"> </w:t>
      </w:r>
      <w:r>
        <w:t xml:space="preserve">The output layer uses softmax activation for single-label classification, producing a probability distribution over mutually exclusive classes:</w:t>
      </w:r>
    </w:p>
    <w:p>
      <w:pPr>
        <w:pStyle w:val="BodyText"/>
      </w:pPr>
      <m:oMathPara>
        <m:oMathParaPr>
          <m:jc m:val="center"/>
        </m:oMathParaPr>
        <m:oMath>
          <m:sSub>
            <m:e>
              <m:acc>
                <m:accPr>
                  <m:chr m:val="̂"/>
                </m:accPr>
                <m:e>
                  <m:r>
                    <m:t>y</m:t>
                  </m:r>
                </m:e>
              </m:acc>
            </m:e>
            <m:sub>
              <m:r>
                <m:t>c</m:t>
              </m:r>
            </m:sub>
          </m:sSub>
          <m:r>
            <m:rPr>
              <m:sty m:val="p"/>
            </m:rPr>
            <m:t>=</m:t>
          </m:r>
          <m:f>
            <m:fPr>
              <m:type m:val="bar"/>
            </m:fPr>
            <m:num>
              <m:sSup>
                <m:e>
                  <m:r>
                    <m:t>e</m:t>
                  </m:r>
                </m:e>
                <m:sup>
                  <m:sSub>
                    <m:e>
                      <m:r>
                        <m:t>z</m:t>
                      </m:r>
                    </m:e>
                    <m:sub>
                      <m:r>
                        <m:t>c</m:t>
                      </m:r>
                    </m:sub>
                  </m:sSub>
                </m:sup>
              </m:sSup>
            </m:num>
            <m:den>
              <m:nary>
                <m:naryPr>
                  <m:chr m:val="∑"/>
                  <m:limLoc m:val="undOvr"/>
                  <m:subHide m:val="0"/>
                  <m:supHide m:val="0"/>
                </m:naryPr>
                <m:sub>
                  <m:r>
                    <m:t>j</m:t>
                  </m:r>
                  <m:r>
                    <m:rPr>
                      <m:sty m:val="p"/>
                    </m:rPr>
                    <m:t>=</m:t>
                  </m:r>
                  <m:r>
                    <m:t>1</m:t>
                  </m:r>
                </m:sub>
                <m:sup>
                  <m:r>
                    <m:t>C</m:t>
                  </m:r>
                </m:sup>
                <m:e>
                  <m:sSup>
                    <m:e>
                      <m:r>
                        <m:t>e</m:t>
                      </m:r>
                    </m:e>
                    <m:sup>
                      <m:sSub>
                        <m:e>
                          <m:r>
                            <m:t>z</m:t>
                          </m:r>
                        </m:e>
                        <m:sub>
                          <m:r>
                            <m:t>j</m:t>
                          </m:r>
                        </m:sub>
                      </m:sSub>
                    </m:sup>
                  </m:sSup>
                </m:e>
              </m:nary>
            </m:den>
          </m:f>
          <m:r>
            <m:rPr>
              <m:sty m:val="p"/>
            </m:rPr>
            <m:t>,</m:t>
          </m:r>
          <m:r>
            <m:t> </m:t>
          </m:r>
          <m:nary>
            <m:naryPr>
              <m:chr m:val="∑"/>
              <m:limLoc m:val="undOvr"/>
              <m:subHide m:val="0"/>
              <m:supHide m:val="0"/>
            </m:naryPr>
            <m:sub>
              <m:r>
                <m:t>c</m:t>
              </m:r>
              <m:r>
                <m:rPr>
                  <m:sty m:val="p"/>
                </m:rPr>
                <m:t>=</m:t>
              </m:r>
              <m:r>
                <m:t>1</m:t>
              </m:r>
            </m:sub>
            <m:sup>
              <m:r>
                <m:t>C</m:t>
              </m:r>
            </m:sup>
            <m:e>
              <m:sSub>
                <m:e>
                  <m:acc>
                    <m:accPr>
                      <m:chr m:val="̂"/>
                    </m:accPr>
                    <m:e>
                      <m:r>
                        <m:t>y</m:t>
                      </m:r>
                    </m:e>
                  </m:acc>
                </m:e>
                <m:sub>
                  <m:r>
                    <m:t>c</m:t>
                  </m:r>
                </m:sub>
              </m:sSub>
            </m:e>
          </m:nary>
          <m:r>
            <m:rPr>
              <m:sty m:val="p"/>
            </m:rPr>
            <m:t>=</m:t>
          </m:r>
          <m:r>
            <m:t>1</m:t>
          </m:r>
        </m:oMath>
      </m:oMathPara>
    </w:p>
    <w:p>
      <w:pPr>
        <w:pStyle w:val="FirstParagraph"/>
      </w:pPr>
      <w:r>
        <w:t xml:space="preserve">where</w:t>
      </w:r>
      <w:r>
        <w:t xml:space="preserve"> </w:t>
      </w:r>
      <m:oMath>
        <m:r>
          <m:t>C</m:t>
        </m:r>
      </m:oMath>
      <w:r>
        <w:t xml:space="preserve"> </w:t>
      </w:r>
      <w:r>
        <w:t xml:space="preserve">is the number of classes (dataset-dependent) and exactly one class has maximum probability.</w:t>
      </w:r>
    </w:p>
    <w:p>
      <w:pPr>
        <w:pStyle w:val="BodyText"/>
      </w:pPr>
      <w:r>
        <w:t xml:space="preserve">The LSTM layers capture long-range temporal dependencies critical for identifying complex arrhythmia patterns and sleep stage transitions. Dropout regularization (rate=0.2) prevents overfitting, particularly important given the limited size of some specialized datasets.</w:t>
      </w:r>
    </w:p>
    <w:bookmarkStart w:id="42" w:name="X3af234922deec66469a528f2e1f7507561cc23d"/>
    <w:p>
      <w:pPr>
        <w:pStyle w:val="Heading3"/>
      </w:pPr>
      <w:r>
        <w:t xml:space="preserve">Training Configuration and Hyperparameters</w:t>
      </w:r>
    </w:p>
    <w:p>
      <w:pPr>
        <w:pStyle w:val="FirstParagraph"/>
      </w:pPr>
      <w:r>
        <w:t xml:space="preserve">Table </w:t>
      </w:r>
      <w:hyperlink w:anchor="tab:hyperparameters">
        <w:r>
          <w:rPr>
            <w:rStyle w:val="Hyperlink"/>
          </w:rPr>
          <w:t xml:space="preserve">5</w:t>
        </w:r>
      </w:hyperlink>
      <w:r>
        <w:t xml:space="preserve"> </w:t>
      </w:r>
      <w:r>
        <w:t xml:space="preserve">provides complete hyperparameter specifications used for model training. These parameters were selected through systematic grid search on the validation set, ensuring reproducibility and fair comparison with baseline methods.</w:t>
      </w:r>
    </w:p>
    <w:bookmarkStart w:id="41" w:name="tab:hyperparameters"/>
    <w:p>
      <w:pPr>
        <w:pStyle w:val="TableCaption"/>
      </w:pPr>
      <w:r>
        <w:t xml:space="preserve">Model Hyperparameters and Training Configuration</w:t>
      </w:r>
    </w:p>
    <w:tbl>
      <w:tblPr>
        <w:tblStyle w:val="Table"/>
        <w:tblW w:type="auto" w:w="0"/>
        <w:tblLook w:firstRow="1" w:lastRow="0" w:firstColumn="0" w:lastColumn="0" w:noHBand="0" w:noVBand="0" w:val="0020"/>
        <w:tblCaption w:val="Model Hyperparameters and Training Configur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gridSpan w:val="2"/>
          </w:tcPr>
          <w:p>
            <w:pPr>
              <w:pStyle w:val="Compact"/>
              <w:jc w:val="left"/>
            </w:pPr>
            <w:r>
              <w:rPr>
                <w:iCs/>
                <w:i/>
              </w:rPr>
              <w:t xml:space="preserve">Architecture</w:t>
            </w:r>
          </w:p>
        </w:tc>
      </w:tr>
      <w:tr>
        <w:tc>
          <w:tcPr/>
          <w:p>
            <w:pPr>
              <w:pStyle w:val="Compact"/>
              <w:jc w:val="left"/>
            </w:pPr>
            <w:r>
              <w:t xml:space="preserve">LSTM Layer 1 Units</w:t>
            </w:r>
          </w:p>
        </w:tc>
        <w:tc>
          <w:tcPr/>
          <w:p>
            <w:pPr>
              <w:pStyle w:val="Compact"/>
              <w:jc w:val="left"/>
            </w:pPr>
            <w:r>
              <w:t xml:space="preserve">128</w:t>
            </w:r>
          </w:p>
        </w:tc>
      </w:tr>
      <w:tr>
        <w:tc>
          <w:tcPr/>
          <w:p>
            <w:pPr>
              <w:pStyle w:val="Compact"/>
              <w:jc w:val="left"/>
            </w:pPr>
            <w:r>
              <w:t xml:space="preserve">LSTM Layer 2 Units</w:t>
            </w:r>
          </w:p>
        </w:tc>
        <w:tc>
          <w:tcPr/>
          <w:p>
            <w:pPr>
              <w:pStyle w:val="Compact"/>
              <w:jc w:val="left"/>
            </w:pPr>
            <w:r>
              <w:t xml:space="preserve">64</w:t>
            </w:r>
          </w:p>
        </w:tc>
      </w:tr>
      <w:tr>
        <w:tc>
          <w:tcPr/>
          <w:p>
            <w:pPr>
              <w:pStyle w:val="Compact"/>
              <w:jc w:val="left"/>
            </w:pPr>
            <w:r>
              <w:t xml:space="preserve">Dropout Rate</w:t>
            </w:r>
          </w:p>
        </w:tc>
        <w:tc>
          <w:tcPr/>
          <w:p>
            <w:pPr>
              <w:pStyle w:val="Compact"/>
              <w:jc w:val="left"/>
            </w:pPr>
            <w:r>
              <w:t xml:space="preserve">0.2</w:t>
            </w:r>
          </w:p>
        </w:tc>
      </w:tr>
      <w:tr>
        <w:tc>
          <w:tcPr/>
          <w:p>
            <w:pPr>
              <w:pStyle w:val="Compact"/>
              <w:jc w:val="left"/>
            </w:pPr>
            <w:r>
              <w:t xml:space="preserve">Dense Layer Units</w:t>
            </w:r>
          </w:p>
        </w:tc>
        <w:tc>
          <w:tcPr/>
          <w:p>
            <w:pPr>
              <w:pStyle w:val="Compact"/>
              <w:jc w:val="left"/>
            </w:pPr>
            <w:r>
              <w:t xml:space="preserve">32</w:t>
            </w:r>
          </w:p>
        </w:tc>
      </w:tr>
      <w:tr>
        <w:tc>
          <w:tcPr/>
          <w:p>
            <w:pPr>
              <w:pStyle w:val="Compact"/>
              <w:jc w:val="left"/>
            </w:pPr>
            <w:r>
              <w:t xml:space="preserve">Activation (Hidden)</w:t>
            </w:r>
          </w:p>
        </w:tc>
        <w:tc>
          <w:tcPr/>
          <w:p>
            <w:pPr>
              <w:pStyle w:val="Compact"/>
              <w:jc w:val="left"/>
            </w:pPr>
            <w:r>
              <w:t xml:space="preserve">ReLU</w:t>
            </w:r>
          </w:p>
        </w:tc>
      </w:tr>
      <w:tr>
        <w:tc>
          <w:tcPr/>
          <w:p>
            <w:pPr>
              <w:pStyle w:val="Compact"/>
              <w:jc w:val="left"/>
            </w:pPr>
            <w:r>
              <w:t xml:space="preserve">Activation (Output)</w:t>
            </w:r>
          </w:p>
        </w:tc>
        <w:tc>
          <w:tcPr/>
          <w:p>
            <w:pPr>
              <w:pStyle w:val="Compact"/>
              <w:jc w:val="left"/>
            </w:pPr>
            <w:r>
              <w:t xml:space="preserve">Softmax</w:t>
            </w:r>
          </w:p>
        </w:tc>
      </w:tr>
      <w:tr>
        <w:tc>
          <w:tcPr>
            <w:gridSpan w:val="2"/>
          </w:tcPr>
          <w:p>
            <w:pPr>
              <w:pStyle w:val="Compact"/>
              <w:jc w:val="left"/>
            </w:pPr>
            <w:r>
              <w:rPr>
                <w:iCs/>
                <w:i/>
              </w:rPr>
              <w:t xml:space="preserve">Optimization</w:t>
            </w:r>
          </w:p>
        </w:tc>
      </w:tr>
      <w:tr>
        <w:tc>
          <w:tcPr/>
          <w:p>
            <w:pPr>
              <w:pStyle w:val="Compact"/>
              <w:jc w:val="left"/>
            </w:pPr>
            <w:r>
              <w:t xml:space="preserve">Optimizer</w:t>
            </w:r>
          </w:p>
        </w:tc>
        <w:tc>
          <w:tcPr/>
          <w:p>
            <w:pPr>
              <w:pStyle w:val="Compact"/>
              <w:jc w:val="left"/>
            </w:pPr>
            <w:r>
              <w:t xml:space="preserve">Adam</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m:oMath>
              <m:sSub>
                <m:e>
                  <m:r>
                    <m:t>β</m:t>
                  </m:r>
                </m:e>
                <m:sub>
                  <m:r>
                    <m:t>1</m:t>
                  </m:r>
                </m:sub>
              </m:sSub>
            </m:oMath>
          </w:p>
        </w:tc>
        <w:tc>
          <w:tcPr/>
          <w:p>
            <w:pPr>
              <w:pStyle w:val="Compact"/>
              <w:jc w:val="left"/>
            </w:pPr>
            <w:r>
              <w:t xml:space="preserve">0.9</w:t>
            </w:r>
          </w:p>
        </w:tc>
      </w:tr>
      <w:tr>
        <w:tc>
          <w:tcPr/>
          <w:p>
            <w:pPr>
              <w:pStyle w:val="Compact"/>
              <w:jc w:val="left"/>
            </w:pPr>
            <m:oMath>
              <m:sSub>
                <m:e>
                  <m:r>
                    <m:t>β</m:t>
                  </m:r>
                </m:e>
                <m:sub>
                  <m:r>
                    <m:t>2</m:t>
                  </m:r>
                </m:sub>
              </m:sSub>
            </m:oMath>
          </w:p>
        </w:tc>
        <w:tc>
          <w:tcPr/>
          <w:p>
            <w:pPr>
              <w:pStyle w:val="Compact"/>
              <w:jc w:val="left"/>
            </w:pPr>
            <w:r>
              <w:t xml:space="preserve">0.999</w:t>
            </w:r>
          </w:p>
        </w:tc>
      </w:tr>
      <w:tr>
        <w:tc>
          <w:tcPr/>
          <w:p>
            <w:pPr>
              <w:pStyle w:val="Compact"/>
              <w:jc w:val="left"/>
            </w:pPr>
            <m:oMath>
              <m:r>
                <m:t>ϵ</m:t>
              </m:r>
            </m:oMath>
          </w:p>
        </w:tc>
        <w:tc>
          <w:tcPr/>
          <w:p>
            <w:pPr>
              <w:pStyle w:val="Compact"/>
              <w:jc w:val="left"/>
            </w:pPr>
            <m:oMath>
              <m:r>
                <m:t>1</m:t>
              </m:r>
              <m:r>
                <m:rPr>
                  <m:sty m:val="p"/>
                </m:rPr>
                <m:t>×</m:t>
              </m:r>
              <m:sSup>
                <m:e>
                  <m:r>
                    <m:t>10</m:t>
                  </m:r>
                </m:e>
                <m:sup>
                  <m:r>
                    <m:rPr>
                      <m:sty m:val="p"/>
                    </m:rPr>
                    <m:t>−</m:t>
                  </m:r>
                  <m:r>
                    <m:t>7</m:t>
                  </m:r>
                </m:sup>
              </m:sSup>
            </m:oMath>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Categorical Cross-Entropy</w:t>
            </w:r>
          </w:p>
        </w:tc>
      </w:tr>
      <w:tr>
        <w:tc>
          <w:tcPr>
            <w:gridSpan w:val="2"/>
          </w:tcPr>
          <w:p>
            <w:pPr>
              <w:pStyle w:val="Compact"/>
              <w:jc w:val="left"/>
            </w:pPr>
            <w:r>
              <w:rPr>
                <w:iCs/>
                <w:i/>
              </w:rPr>
              <w:t xml:space="preserve">Regularization</w:t>
            </w:r>
          </w:p>
        </w:tc>
      </w:tr>
      <w:tr>
        <w:tc>
          <w:tcPr/>
          <w:p>
            <w:pPr>
              <w:pStyle w:val="Compact"/>
              <w:jc w:val="left"/>
            </w:pPr>
            <w:r>
              <w:t xml:space="preserve">Class Weighting</w:t>
            </w:r>
          </w:p>
        </w:tc>
        <w:tc>
          <w:tcPr/>
          <w:p>
            <w:pPr>
              <w:pStyle w:val="Compact"/>
              <w:jc w:val="left"/>
            </w:pPr>
            <w:r>
              <w:t xml:space="preserve">Balanced (inversely proportional)</w:t>
            </w:r>
          </w:p>
        </w:tc>
      </w:tr>
      <w:tr>
        <w:tc>
          <w:tcPr/>
          <w:p>
            <w:pPr>
              <w:pStyle w:val="Compact"/>
              <w:jc w:val="left"/>
            </w:pPr>
            <w:r>
              <w:t xml:space="preserve">LR Scheduler</w:t>
            </w:r>
          </w:p>
        </w:tc>
        <w:tc>
          <w:tcPr/>
          <w:p>
            <w:pPr>
              <w:pStyle w:val="Compact"/>
              <w:jc w:val="left"/>
            </w:pPr>
            <w:r>
              <w:t xml:space="preserve">ReduceLROnPlateau</w:t>
            </w:r>
          </w:p>
        </w:tc>
      </w:tr>
      <w:tr>
        <w:tc>
          <w:tcPr/>
          <w:p>
            <w:pPr>
              <w:pStyle w:val="Compact"/>
              <w:jc w:val="left"/>
            </w:pPr>
            <w:r>
              <w:t xml:space="preserve">LR Reduction Factor</w:t>
            </w:r>
          </w:p>
        </w:tc>
        <w:tc>
          <w:tcPr/>
          <w:p>
            <w:pPr>
              <w:pStyle w:val="Compact"/>
              <w:jc w:val="left"/>
            </w:pPr>
            <w:r>
              <w:t xml:space="preserve">0.5</w:t>
            </w:r>
          </w:p>
        </w:tc>
      </w:tr>
      <w:tr>
        <w:tc>
          <w:tcPr/>
          <w:p>
            <w:pPr>
              <w:pStyle w:val="Compact"/>
              <w:jc w:val="left"/>
            </w:pPr>
            <w:r>
              <w:t xml:space="preserve">LR Patience</w:t>
            </w:r>
          </w:p>
        </w:tc>
        <w:tc>
          <w:tcPr/>
          <w:p>
            <w:pPr>
              <w:pStyle w:val="Compact"/>
              <w:jc w:val="left"/>
            </w:pPr>
            <w:r>
              <w:t xml:space="preserve">10 epochs</w:t>
            </w:r>
          </w:p>
        </w:tc>
      </w:tr>
      <w:tr>
        <w:tc>
          <w:tcPr>
            <w:gridSpan w:val="2"/>
          </w:tcPr>
          <w:p>
            <w:pPr>
              <w:pStyle w:val="Compact"/>
              <w:jc w:val="left"/>
            </w:pPr>
            <w:r>
              <w:rPr>
                <w:iCs/>
                <w:i/>
              </w:rPr>
              <w:t xml:space="preserve">Data Augmentation (Training Only)</w:t>
            </w:r>
          </w:p>
        </w:tc>
      </w:tr>
      <w:tr>
        <w:tc>
          <w:tcPr/>
          <w:p>
            <w:pPr>
              <w:pStyle w:val="Compact"/>
              <w:jc w:val="left"/>
            </w:pPr>
            <w:r>
              <w:t xml:space="preserve">Augmentation Probability</w:t>
            </w:r>
          </w:p>
        </w:tc>
        <w:tc>
          <w:tcPr/>
          <w:p>
            <w:pPr>
              <w:pStyle w:val="Compact"/>
              <w:jc w:val="left"/>
            </w:pPr>
            <w:r>
              <w:t xml:space="preserve">0.5</w:t>
            </w:r>
          </w:p>
        </w:tc>
      </w:tr>
      <w:tr>
        <w:tc>
          <w:tcPr/>
          <w:p>
            <w:pPr>
              <w:pStyle w:val="Compact"/>
              <w:jc w:val="left"/>
            </w:pPr>
            <w:r>
              <w:t xml:space="preserve">Noise Factor (Gaussian)</w:t>
            </w:r>
          </w:p>
        </w:tc>
        <w:tc>
          <w:tcPr/>
          <w:p>
            <w:pPr>
              <w:pStyle w:val="Compact"/>
              <w:jc w:val="left"/>
            </w:pPr>
            <w:r>
              <w:t xml:space="preserve">0.05</w:t>
            </w:r>
          </w:p>
        </w:tc>
      </w:tr>
      <w:tr>
        <w:tc>
          <w:tcPr/>
          <w:p>
            <w:pPr>
              <w:pStyle w:val="Compact"/>
              <w:jc w:val="left"/>
            </w:pPr>
            <w:r>
              <w:t xml:space="preserve">Amplitude Scaling Range</w:t>
            </w:r>
          </w:p>
        </w:tc>
        <w:tc>
          <w:tcPr/>
          <w:p>
            <w:pPr>
              <w:pStyle w:val="Compact"/>
              <w:jc w:val="left"/>
            </w:pPr>
            <w:r>
              <w:t xml:space="preserve">[0.8, 1.2]</w:t>
            </w:r>
          </w:p>
        </w:tc>
      </w:tr>
      <w:tr>
        <w:tc>
          <w:tcPr/>
          <w:p>
            <w:pPr>
              <w:pStyle w:val="Compact"/>
              <w:jc w:val="left"/>
            </w:pPr>
            <w:r>
              <w:t xml:space="preserve">Temporal Shift Ratio</w:t>
            </w:r>
          </w:p>
        </w:tc>
        <w:tc>
          <w:tcPr/>
          <w:p>
            <w:pPr>
              <w:pStyle w:val="Compact"/>
              <w:jc w:val="left"/>
            </w:pPr>
            <m:oMath>
              <m:r>
                <m:rPr>
                  <m:sty m:val="p"/>
                </m:rPr>
                <m:t>±</m:t>
              </m:r>
            </m:oMath>
            <w:r>
              <w:t xml:space="preserve">10%</w:t>
            </w:r>
          </w:p>
        </w:tc>
      </w:tr>
    </w:tbl>
    <w:bookmarkEnd w:id="41"/>
    <w:bookmarkEnd w:id="42"/>
    <w:bookmarkStart w:id="43" w:name="Xae3a06573e7af85364426a0c0aecb194d000be5"/>
    <w:p>
      <w:pPr>
        <w:pStyle w:val="Heading3"/>
      </w:pPr>
      <w:r>
        <w:t xml:space="preserve">Single-Label Formulation and Dataset Selection</w:t>
      </w:r>
    </w:p>
    <w:p>
      <w:pPr>
        <w:pStyle w:val="FirstParagraph"/>
      </w:pPr>
      <w:r>
        <w:t xml:space="preserve">Our system is specifically designed for</w:t>
      </w:r>
      <w:r>
        <w:t xml:space="preserve"> </w:t>
      </w:r>
      <w:r>
        <w:rPr>
          <w:bCs/>
          <w:b/>
        </w:rPr>
        <w:t xml:space="preserve">single-label classification tasks</w:t>
      </w:r>
      <w:r>
        <w:t xml:space="preserve"> </w:t>
      </w:r>
      <w:r>
        <w:t xml:space="preserve">where each signal segment belongs to exactly one mutually exclusive class. This design choice aligns with the softmax output layer and reflects common diagnostic scenarios in point-of-care settings.</w:t>
      </w:r>
    </w:p>
    <w:p>
      <w:pPr>
        <w:pStyle w:val="BodyText"/>
      </w:pPr>
      <w:r>
        <w:rPr>
          <w:bCs/>
          <w:b/>
        </w:rPr>
        <w:t xml:space="preserve">Datasets Included (Single-Label):</w:t>
      </w:r>
    </w:p>
    <w:p>
      <w:pPr>
        <w:numPr>
          <w:ilvl w:val="0"/>
          <w:numId w:val="1006"/>
        </w:numPr>
      </w:pPr>
      <w:r>
        <w:rPr>
          <w:bCs/>
          <w:b/>
        </w:rPr>
        <w:t xml:space="preserve">MIT-BIH Arrhythmia:</w:t>
      </w:r>
      <w:r>
        <w:t xml:space="preserve"> </w:t>
      </w:r>
      <w:r>
        <w:t xml:space="preserve">Heartbeat classifications (Normal, PVC, PAC, etc.) - mutually exclusive arrhythmia types</w:t>
      </w:r>
    </w:p>
    <w:p>
      <w:pPr>
        <w:numPr>
          <w:ilvl w:val="0"/>
          <w:numId w:val="1006"/>
        </w:numPr>
      </w:pPr>
      <w:r>
        <w:rPr>
          <w:bCs/>
          <w:b/>
        </w:rPr>
        <w:t xml:space="preserve">Sleep-EDF:</w:t>
      </w:r>
      <w:r>
        <w:t xml:space="preserve"> </w:t>
      </w:r>
      <w:r>
        <w:t xml:space="preserve">Sleep stage classification (Wake, REM, N1, N2, N3) - mutually exclusive states</w:t>
      </w:r>
    </w:p>
    <w:p>
      <w:pPr>
        <w:numPr>
          <w:ilvl w:val="0"/>
          <w:numId w:val="1006"/>
        </w:numPr>
      </w:pPr>
      <w:r>
        <w:rPr>
          <w:bCs/>
          <w:b/>
        </w:rPr>
        <w:t xml:space="preserve">MIMIC-III Waveforms:</w:t>
      </w:r>
      <w:r>
        <w:t xml:space="preserve"> </w:t>
      </w:r>
      <w:r>
        <w:t xml:space="preserve">ICU waveform analysis with single diagnostic labels</w:t>
      </w:r>
    </w:p>
    <w:p>
      <w:pPr>
        <w:pStyle w:val="FirstParagraph"/>
      </w:pPr>
      <w:r>
        <w:rPr>
          <w:bCs/>
          <w:b/>
        </w:rPr>
        <w:t xml:space="preserve">Datasets Excluded (Multi-Label):</w:t>
      </w:r>
    </w:p>
    <w:p>
      <w:pPr>
        <w:pStyle w:val="BodyText"/>
      </w:pPr>
      <w:r>
        <w:t xml:space="preserve">Several PhysioNet datasets were excluded because they employ multi-label formulations incompatible with our softmax-based architecture:</w:t>
      </w:r>
    </w:p>
    <w:p>
      <w:pPr>
        <w:numPr>
          <w:ilvl w:val="0"/>
          <w:numId w:val="1007"/>
        </w:numPr>
      </w:pPr>
      <w:r>
        <w:rPr>
          <w:bCs/>
          <w:b/>
        </w:rPr>
        <w:t xml:space="preserve">PTB-XL:</w:t>
      </w:r>
      <w:r>
        <w:t xml:space="preserve"> </w:t>
      </w:r>
      <w:r>
        <w:t xml:space="preserve">Patients can have multiple simultaneous diagnoses (e.g.,</w:t>
      </w:r>
      <w:r>
        <w:t xml:space="preserve"> </w:t>
      </w:r>
      <w:r>
        <w:t xml:space="preserve">“</w:t>
      </w:r>
      <w:r>
        <w:t xml:space="preserve">Myocardial Infarction + Left Bundle Branch Block + Left Ventricular Hypertrophy</w:t>
      </w:r>
      <w:r>
        <w:t xml:space="preserve">”</w:t>
      </w:r>
      <w:r>
        <w:t xml:space="preserve">). Multi-label classification would require sigmoid activation and binary cross-entropy loss.</w:t>
      </w:r>
    </w:p>
    <w:p>
      <w:pPr>
        <w:numPr>
          <w:ilvl w:val="0"/>
          <w:numId w:val="1007"/>
        </w:numPr>
      </w:pPr>
      <w:r>
        <w:rPr>
          <w:bCs/>
          <w:b/>
        </w:rPr>
        <w:t xml:space="preserve">Chapman-Shaoxing:</w:t>
      </w:r>
      <w:r>
        <w:t xml:space="preserve"> </w:t>
      </w:r>
      <w:r>
        <w:t xml:space="preserve">Supports multiple concurrent diagnoses per ECG recording</w:t>
      </w:r>
    </w:p>
    <w:p>
      <w:pPr>
        <w:numPr>
          <w:ilvl w:val="0"/>
          <w:numId w:val="1007"/>
        </w:numPr>
      </w:pPr>
      <w:r>
        <w:rPr>
          <w:bCs/>
          <w:b/>
        </w:rPr>
        <w:t xml:space="preserve">PTB Diagnostic:</w:t>
      </w:r>
      <w:r>
        <w:t xml:space="preserve"> </w:t>
      </w:r>
      <w:r>
        <w:t xml:space="preserve">Contains overlapping pathology labels not mutually exclusive</w:t>
      </w:r>
    </w:p>
    <w:p>
      <w:pPr>
        <w:pStyle w:val="FirstParagraph"/>
      </w:pPr>
      <w:r>
        <w:rPr>
          <w:bCs/>
          <w:b/>
        </w:rPr>
        <w:t xml:space="preserve">Label Encoding:</w:t>
      </w:r>
      <w:r>
        <w:t xml:space="preserve"> </w:t>
      </w:r>
      <w:r>
        <w:t xml:space="preserve">For single-label tasks, we use one-hot encoding where each label vector</w:t>
      </w:r>
      <w:r>
        <w:t xml:space="preserve"> </w:t>
      </w:r>
      <m:oMath>
        <m:sSub>
          <m:e>
            <m:r>
              <m:rPr>
                <m:sty m:val="b"/>
              </m:rPr>
              <m:t>y</m:t>
            </m:r>
          </m:e>
          <m:sub>
            <m:r>
              <m:t>i</m:t>
            </m:r>
          </m:sub>
        </m:sSub>
        <m:r>
          <m:rPr>
            <m:sty m:val="p"/>
          </m:rPr>
          <m:t>∈</m:t>
        </m:r>
        <m:sSup>
          <m:e>
            <m:r>
              <m:rPr>
                <m:sty m:val="p"/>
                <m:scr m:val="double-struck"/>
              </m:rPr>
              <m:t>R</m:t>
            </m:r>
          </m:e>
          <m:sup>
            <m:r>
              <m:t>C</m:t>
            </m:r>
          </m:sup>
        </m:sSup>
      </m:oMath>
      <w:r>
        <w:t xml:space="preserve"> </w:t>
      </w:r>
      <w:r>
        <w:t xml:space="preserve">satisfies:</w:t>
      </w:r>
    </w:p>
    <w:p>
      <w:pPr>
        <w:pStyle w:val="BodyText"/>
      </w:pPr>
      <m:oMathPara>
        <m:oMathParaPr>
          <m:jc m:val="center"/>
        </m:oMathParaPr>
        <m:oMath>
          <m:sSub>
            <m:e>
              <m:r>
                <m:t>y</m:t>
              </m:r>
            </m:e>
            <m:sub>
              <m:r>
                <m:t>i</m:t>
              </m:r>
              <m:r>
                <m:rPr>
                  <m:sty m:val="p"/>
                </m:rPr>
                <m:t>,</m:t>
              </m:r>
              <m:r>
                <m:t>c</m:t>
              </m:r>
            </m:sub>
          </m:sSub>
          <m:r>
            <m:rPr>
              <m:sty m:val="p"/>
            </m:rPr>
            <m:t>=</m:t>
          </m:r>
          <m:d>
            <m:dPr>
              <m:begChr m:val="{"/>
              <m:endChr m:val=""/>
              <m:sepChr m:val=""/>
              <m:grow/>
            </m:dPr>
            <m:e>
              <m:m>
                <m:mPr>
                  <m:baseJc m:val="center"/>
                  <m:plcHide m:val="1"/>
                  <m:mcs>
                    <m:mc>
                      <m:mcPr>
                        <m:mcJc m:val="left"/>
                        <m:count m:val="1"/>
                      </m:mcPr>
                    </m:mc>
                    <m:mc>
                      <m:mcPr>
                        <m:mcJc m:val="left"/>
                        <m:count m:val="1"/>
                      </m:mcPr>
                    </m:mc>
                  </m:mcs>
                </m:mPr>
                <m:mr>
                  <m:e>
                    <m:r>
                      <m:t>1</m:t>
                    </m:r>
                  </m:e>
                  <m:e>
                    <m:r>
                      <m:rPr>
                        <m:nor/>
                        <m:sty m:val="p"/>
                      </m:rPr>
                      <m:t>if sample </m:t>
                    </m:r>
                    <m:r>
                      <m:t>i</m:t>
                    </m:r>
                    <m:r>
                      <m:rPr>
                        <m:nor/>
                        <m:sty m:val="p"/>
                      </m:rPr>
                      <m:t> belongs to class </m:t>
                    </m:r>
                    <m:r>
                      <m:t>c</m:t>
                    </m:r>
                  </m:e>
                </m:mr>
                <m:mr>
                  <m:e>
                    <m:r>
                      <m:t>0</m:t>
                    </m:r>
                  </m:e>
                  <m:e>
                    <m:r>
                      <m:rPr>
                        <m:nor/>
                        <m:sty m:val="p"/>
                      </m:rPr>
                      <m:t>otherwise</m:t>
                    </m:r>
                  </m:e>
                </m:mr>
              </m:m>
            </m:e>
          </m:d>
          <m:r>
            <m:rPr>
              <m:sty m:val="p"/>
            </m:rPr>
            <m:t>,</m:t>
          </m:r>
          <m:r>
            <m:t> </m:t>
          </m:r>
          <m:nary>
            <m:naryPr>
              <m:chr m:val="∑"/>
              <m:limLoc m:val="undOvr"/>
              <m:subHide m:val="0"/>
              <m:supHide m:val="0"/>
            </m:naryPr>
            <m:sub>
              <m:r>
                <m:t>c</m:t>
              </m:r>
              <m:r>
                <m:rPr>
                  <m:sty m:val="p"/>
                </m:rPr>
                <m:t>=</m:t>
              </m:r>
              <m:r>
                <m:t>1</m:t>
              </m:r>
            </m:sub>
            <m:sup>
              <m:r>
                <m:t>C</m:t>
              </m:r>
            </m:sup>
            <m:e>
              <m:sSub>
                <m:e>
                  <m:r>
                    <m:t>y</m:t>
                  </m:r>
                </m:e>
                <m:sub>
                  <m:r>
                    <m:t>i</m:t>
                  </m:r>
                  <m:r>
                    <m:rPr>
                      <m:sty m:val="p"/>
                    </m:rPr>
                    <m:t>,</m:t>
                  </m:r>
                  <m:r>
                    <m:t>c</m:t>
                  </m:r>
                </m:sub>
              </m:sSub>
            </m:e>
          </m:nary>
          <m:r>
            <m:rPr>
              <m:sty m:val="p"/>
            </m:rPr>
            <m:t>=</m:t>
          </m:r>
          <m:r>
            <m:t>1</m:t>
          </m:r>
        </m:oMath>
      </m:oMathPara>
    </w:p>
    <w:p>
      <w:pPr>
        <w:pStyle w:val="FirstParagraph"/>
      </w:pPr>
      <w:r>
        <w:t xml:space="preserve">This formulation is appropriate for our target deployment scenario where healthcare workers in underserved regions typically need to identify the primary diagnostic category (e.g.,</w:t>
      </w:r>
      <w:r>
        <w:t xml:space="preserve"> </w:t>
      </w:r>
      <w:r>
        <w:t xml:space="preserve">“</w:t>
      </w:r>
      <w:r>
        <w:t xml:space="preserve">Is this arrhythmia atrial fibrillation or ventricular tachycardia?</w:t>
      </w:r>
      <w:r>
        <w:t xml:space="preserve">”</w:t>
      </w:r>
      <w:r>
        <w:t xml:space="preserve">) rather than enumerate all possible concurrent conditions.</w:t>
      </w:r>
    </w:p>
    <w:p>
      <w:pPr>
        <w:pStyle w:val="BodyText"/>
      </w:pPr>
      <w:r>
        <w:rPr>
          <w:bCs/>
          <w:b/>
        </w:rPr>
        <w:t xml:space="preserve">Extension to Multi-Label:</w:t>
      </w:r>
      <w:r>
        <w:t xml:space="preserve"> </w:t>
      </w:r>
      <w:r>
        <w:t xml:space="preserve">Future work could extend the architecture to multi-label classification by replacing softmax with sigmoid activation in the output layer and using binary cross-entropy loss. However, this would require different evaluation metrics (Hamming loss, subset accuracy) and may not align with the decision-making needs of non-specialist healthcare workers.</w:t>
      </w:r>
    </w:p>
    <w:bookmarkEnd w:id="43"/>
    <w:bookmarkEnd w:id="44"/>
    <w:bookmarkStart w:id="51" w:name="training-methodology"/>
    <w:p>
      <w:pPr>
        <w:pStyle w:val="Heading2"/>
      </w:pPr>
      <w:r>
        <w:t xml:space="preserve">Training Methodology</w:t>
      </w:r>
    </w:p>
    <w:p>
      <w:pPr>
        <w:pStyle w:val="FirstParagraph"/>
      </w:pPr>
      <w:r>
        <w:t xml:space="preserve">The training process employs several strategies to ensure robust model performance:</w:t>
      </w:r>
    </w:p>
    <w:bookmarkStart w:id="45" w:name="patient-level-data-splitting"/>
    <w:p>
      <w:pPr>
        <w:pStyle w:val="Heading3"/>
      </w:pPr>
      <w:r>
        <w:t xml:space="preserve">Patient-Level Data Splitting</w:t>
      </w:r>
    </w:p>
    <w:p>
      <w:pPr>
        <w:pStyle w:val="FirstParagraph"/>
      </w:pPr>
      <w:r>
        <w:t xml:space="preserve">To prevent data leakage and ensure true generalization performance, we implement patient-level data splitting where no patient appears in multiple splits (train/validation/test). Algorithm </w:t>
      </w:r>
      <w:hyperlink w:anchor="alg:split">
        <w:r>
          <w:rPr>
            <w:rStyle w:val="Hyperlink"/>
          </w:rPr>
          <w:t xml:space="preserve">[alg:split]</w:t>
        </w:r>
      </w:hyperlink>
      <w:r>
        <w:t xml:space="preserve"> </w:t>
      </w:r>
      <w:r>
        <w:t xml:space="preserve">formalizes this procedure.</w:t>
      </w:r>
    </w:p>
    <w:p>
      <w:pPr>
        <w:pStyle w:val="BodyText"/>
      </w:pPr>
      <w:r>
        <w:t xml:space="preserve">Dataset</w:t>
      </w:r>
      <w:r>
        <w:t xml:space="preserve"> </w:t>
      </w:r>
      <m:oMath>
        <m:r>
          <m:t>D</m:t>
        </m:r>
      </m:oMath>
      <w:r>
        <w:t xml:space="preserve"> </w:t>
      </w:r>
      <w:r>
        <w:t xml:space="preserve">with patient IDs, signals</w:t>
      </w:r>
      <w:r>
        <w:t xml:space="preserve"> </w:t>
      </w:r>
      <m:oMath>
        <m:r>
          <m:t>X</m:t>
        </m:r>
      </m:oMath>
      <w:r>
        <w:t xml:space="preserve">, labels</w:t>
      </w:r>
      <w:r>
        <w:t xml:space="preserve"> </w:t>
      </w:r>
      <m:oMath>
        <m:r>
          <m:t>Y</m:t>
        </m:r>
      </m:oMath>
      <w:r>
        <w:t xml:space="preserve"> </w:t>
      </w:r>
      <w:r>
        <w:t xml:space="preserve">Split ratios:</w:t>
      </w:r>
      <w:r>
        <w:t xml:space="preserve"> </w:t>
      </w:r>
      <m:oMath>
        <m:sSub>
          <m:e>
            <m:r>
              <m:t>r</m:t>
            </m:r>
          </m:e>
          <m:sub>
            <m:r>
              <m:t>t</m:t>
            </m:r>
            <m:r>
              <m:t>r</m:t>
            </m:r>
            <m:r>
              <m:t>a</m:t>
            </m:r>
            <m:r>
              <m:t>i</m:t>
            </m:r>
            <m:r>
              <m:t>n</m:t>
            </m:r>
          </m:sub>
        </m:sSub>
        <m:r>
          <m:rPr>
            <m:sty m:val="p"/>
          </m:rPr>
          <m:t>=</m:t>
        </m:r>
        <m:r>
          <m:t>0.70</m:t>
        </m:r>
        <m:r>
          <m:rPr>
            <m:sty m:val="p"/>
          </m:rPr>
          <m:t>,</m:t>
        </m:r>
        <m:sSub>
          <m:e>
            <m:r>
              <m:t>r</m:t>
            </m:r>
          </m:e>
          <m:sub>
            <m:r>
              <m:t>v</m:t>
            </m:r>
            <m:r>
              <m:t>a</m:t>
            </m:r>
            <m:r>
              <m:t>l</m:t>
            </m:r>
          </m:sub>
        </m:sSub>
        <m:r>
          <m:rPr>
            <m:sty m:val="p"/>
          </m:rPr>
          <m:t>=</m:t>
        </m:r>
        <m:r>
          <m:t>0.15</m:t>
        </m:r>
        <m:r>
          <m:rPr>
            <m:sty m:val="p"/>
          </m:rPr>
          <m:t>,</m:t>
        </m:r>
        <m:sSub>
          <m:e>
            <m:r>
              <m:t>r</m:t>
            </m:r>
          </m:e>
          <m:sub>
            <m:r>
              <m:t>t</m:t>
            </m:r>
            <m:r>
              <m:t>e</m:t>
            </m:r>
            <m:r>
              <m:t>s</m:t>
            </m:r>
            <m:r>
              <m:t>t</m:t>
            </m:r>
          </m:sub>
        </m:sSub>
        <m:r>
          <m:rPr>
            <m:sty m:val="p"/>
          </m:rPr>
          <m:t>=</m:t>
        </m:r>
        <m:r>
          <m:t>0.15</m:t>
        </m:r>
      </m:oMath>
      <w:r>
        <w:t xml:space="preserve"> </w:t>
      </w:r>
      <w:r>
        <w:t xml:space="preserve">Splits</w:t>
      </w:r>
      <w:r>
        <w:t xml:space="preserve"> </w:t>
      </w:r>
      <m:oMath>
        <m:d>
          <m:dPr>
            <m:begChr m:val="("/>
            <m:endChr m:val=")"/>
            <m:sepChr m:val=""/>
            <m:grow/>
          </m:dPr>
          <m:e>
            <m:sSub>
              <m:e>
                <m:r>
                  <m:t>X</m:t>
                </m:r>
              </m:e>
              <m:sub>
                <m:r>
                  <m:t>t</m:t>
                </m:r>
                <m:r>
                  <m:t>r</m:t>
                </m:r>
                <m:r>
                  <m:t>a</m:t>
                </m:r>
                <m:r>
                  <m:t>i</m:t>
                </m:r>
                <m:r>
                  <m:t>n</m:t>
                </m:r>
              </m:sub>
            </m:sSub>
            <m:r>
              <m:rPr>
                <m:sty m:val="p"/>
              </m:rPr>
              <m:t>,</m:t>
            </m:r>
            <m:sSub>
              <m:e>
                <m:r>
                  <m:t>Y</m:t>
                </m:r>
              </m:e>
              <m:sub>
                <m:r>
                  <m:t>t</m:t>
                </m:r>
                <m:r>
                  <m:t>r</m:t>
                </m:r>
                <m:r>
                  <m:t>a</m:t>
                </m:r>
                <m:r>
                  <m:t>i</m:t>
                </m:r>
                <m:r>
                  <m:t>n</m:t>
                </m:r>
              </m:sub>
            </m:sSub>
          </m:e>
        </m:d>
        <m:r>
          <m:rPr>
            <m:sty m:val="p"/>
          </m:rPr>
          <m:t>,</m:t>
        </m:r>
        <m:d>
          <m:dPr>
            <m:begChr m:val="("/>
            <m:endChr m:val=")"/>
            <m:sepChr m:val=""/>
            <m:grow/>
          </m:dPr>
          <m:e>
            <m:sSub>
              <m:e>
                <m:r>
                  <m:t>X</m:t>
                </m:r>
              </m:e>
              <m:sub>
                <m:r>
                  <m:t>v</m:t>
                </m:r>
                <m:r>
                  <m:t>a</m:t>
                </m:r>
                <m:r>
                  <m:t>l</m:t>
                </m:r>
              </m:sub>
            </m:sSub>
            <m:r>
              <m:rPr>
                <m:sty m:val="p"/>
              </m:rPr>
              <m:t>,</m:t>
            </m:r>
            <m:sSub>
              <m:e>
                <m:r>
                  <m:t>Y</m:t>
                </m:r>
              </m:e>
              <m:sub>
                <m:r>
                  <m:t>v</m:t>
                </m:r>
                <m:r>
                  <m:t>a</m:t>
                </m:r>
                <m:r>
                  <m:t>l</m:t>
                </m:r>
              </m:sub>
            </m:sSub>
          </m:e>
        </m:d>
        <m:r>
          <m:rPr>
            <m:sty m:val="p"/>
          </m:rPr>
          <m:t>,</m:t>
        </m:r>
        <m:d>
          <m:dPr>
            <m:begChr m:val="("/>
            <m:endChr m:val=")"/>
            <m:sepChr m:val=""/>
            <m:grow/>
          </m:dPr>
          <m:e>
            <m:sSub>
              <m:e>
                <m:r>
                  <m:t>X</m:t>
                </m:r>
              </m:e>
              <m:sub>
                <m:r>
                  <m:t>t</m:t>
                </m:r>
                <m:r>
                  <m:t>e</m:t>
                </m:r>
                <m:r>
                  <m:t>s</m:t>
                </m:r>
                <m:r>
                  <m:t>t</m:t>
                </m:r>
              </m:sub>
            </m:sSub>
            <m:r>
              <m:rPr>
                <m:sty m:val="p"/>
              </m:rPr>
              <m:t>,</m:t>
            </m:r>
            <m:sSub>
              <m:e>
                <m:r>
                  <m:t>Y</m:t>
                </m:r>
              </m:e>
              <m:sub>
                <m:r>
                  <m:t>t</m:t>
                </m:r>
                <m:r>
                  <m:t>e</m:t>
                </m:r>
                <m:r>
                  <m:t>s</m:t>
                </m:r>
                <m:r>
                  <m:t>t</m:t>
                </m:r>
              </m:sub>
            </m:sSub>
          </m:e>
        </m:d>
      </m:oMath>
      <w:r>
        <w:t xml:space="preserve"> </w:t>
      </w:r>
      <w:r>
        <w:t xml:space="preserve">with no patient overlap</w:t>
      </w:r>
    </w:p>
    <w:p>
      <w:pPr>
        <w:pStyle w:val="BodyText"/>
      </w:pPr>
      <m:oMath>
        <m:r>
          <m:t>P</m:t>
        </m:r>
        <m:r>
          <m:rPr>
            <m:sty m:val="p"/>
          </m:rPr>
          <m:t>←</m:t>
        </m:r>
        <m:r>
          <m:rPr>
            <m:nor/>
            <m:sty m:val="p"/>
          </m:rPr>
          <m:t>unique_patient_ids</m:t>
        </m:r>
        <m:d>
          <m:dPr>
            <m:begChr m:val="("/>
            <m:endChr m:val=")"/>
            <m:sepChr m:val=""/>
            <m:grow/>
          </m:dPr>
          <m:e>
            <m:r>
              <m:t>D</m:t>
            </m:r>
          </m:e>
        </m:d>
      </m:oMath>
      <w:r>
        <w:t xml:space="preserve"> </w:t>
      </w:r>
      <m:oMath>
        <m:r>
          <m:t>P</m:t>
        </m:r>
        <m:r>
          <m:rPr>
            <m:sty m:val="p"/>
          </m:rPr>
          <m:t>←</m:t>
        </m:r>
        <m:r>
          <m:rPr>
            <m:nor/>
            <m:sty m:val="p"/>
          </m:rPr>
          <m:t>shuffle</m:t>
        </m:r>
        <m:d>
          <m:dPr>
            <m:begChr m:val="("/>
            <m:endChr m:val=")"/>
            <m:sepChr m:val=""/>
            <m:grow/>
          </m:dPr>
          <m:e>
            <m:r>
              <m:t>P</m:t>
            </m:r>
          </m:e>
        </m:d>
      </m:oMath>
    </w:p>
    <w:p>
      <w:pPr>
        <w:pStyle w:val="BodyText"/>
      </w:pPr>
      <m:oMath>
        <m:r>
          <m:t>n</m:t>
        </m:r>
        <m:r>
          <m:rPr>
            <m:sty m:val="p"/>
          </m:rPr>
          <m:t>←</m:t>
        </m:r>
        <m:d>
          <m:dPr>
            <m:begChr m:val="|"/>
            <m:endChr m:val="|"/>
            <m:sepChr m:val=""/>
            <m:grow/>
          </m:dPr>
          <m:e>
            <m:r>
              <m:t>P</m:t>
            </m:r>
          </m:e>
        </m:d>
      </m:oMath>
      <w:r>
        <w:t xml:space="preserve"> </w:t>
      </w:r>
      <m:oMath>
        <m:sSub>
          <m:e>
            <m:r>
              <m:t>n</m:t>
            </m:r>
          </m:e>
          <m:sub>
            <m:r>
              <m:t>t</m:t>
            </m:r>
            <m:r>
              <m:t>r</m:t>
            </m:r>
            <m:r>
              <m:t>a</m:t>
            </m:r>
            <m:r>
              <m:t>i</m:t>
            </m:r>
            <m:r>
              <m:t>n</m:t>
            </m:r>
          </m:sub>
        </m:sSub>
        <m:r>
          <m:rPr>
            <m:sty m:val="p"/>
          </m:rPr>
          <m:t>←</m:t>
        </m:r>
        <m:r>
          <m:rPr>
            <m:sty m:val="p"/>
          </m:rPr>
          <m:t>⌊</m:t>
        </m:r>
        <m:sSub>
          <m:e>
            <m:r>
              <m:t>r</m:t>
            </m:r>
          </m:e>
          <m:sub>
            <m:r>
              <m:t>t</m:t>
            </m:r>
            <m:r>
              <m:t>r</m:t>
            </m:r>
            <m:r>
              <m:t>a</m:t>
            </m:r>
            <m:r>
              <m:t>i</m:t>
            </m:r>
            <m:r>
              <m:t>n</m:t>
            </m:r>
          </m:sub>
        </m:sSub>
        <m:r>
          <m:rPr>
            <m:sty m:val="p"/>
          </m:rPr>
          <m:t>⋅</m:t>
        </m:r>
        <m:r>
          <m:t>n</m:t>
        </m:r>
        <m:r>
          <m:rPr>
            <m:sty m:val="p"/>
          </m:rPr>
          <m:t>⌋</m:t>
        </m:r>
      </m:oMath>
      <w:r>
        <w:t xml:space="preserve"> </w:t>
      </w:r>
      <m:oMath>
        <m:sSub>
          <m:e>
            <m:r>
              <m:t>n</m:t>
            </m:r>
          </m:e>
          <m:sub>
            <m:r>
              <m:t>v</m:t>
            </m:r>
            <m:r>
              <m:t>a</m:t>
            </m:r>
            <m:r>
              <m:t>l</m:t>
            </m:r>
          </m:sub>
        </m:sSub>
        <m:r>
          <m:rPr>
            <m:sty m:val="p"/>
          </m:rPr>
          <m:t>←</m:t>
        </m:r>
        <m:r>
          <m:rPr>
            <m:sty m:val="p"/>
          </m:rPr>
          <m:t>⌊</m:t>
        </m:r>
        <m:sSub>
          <m:e>
            <m:r>
              <m:t>r</m:t>
            </m:r>
          </m:e>
          <m:sub>
            <m:r>
              <m:t>v</m:t>
            </m:r>
            <m:r>
              <m:t>a</m:t>
            </m:r>
            <m:r>
              <m:t>l</m:t>
            </m:r>
          </m:sub>
        </m:sSub>
        <m:r>
          <m:rPr>
            <m:sty m:val="p"/>
          </m:rPr>
          <m:t>⋅</m:t>
        </m:r>
        <m:r>
          <m:t>n</m:t>
        </m:r>
        <m:r>
          <m:rPr>
            <m:sty m:val="p"/>
          </m:rPr>
          <m:t>⌋</m:t>
        </m:r>
      </m:oMath>
    </w:p>
    <w:p>
      <w:pPr>
        <w:pStyle w:val="BodyText"/>
      </w:pPr>
      <m:oMath>
        <m:sSub>
          <m:e>
            <m:r>
              <m:t>P</m:t>
            </m:r>
          </m:e>
          <m:sub>
            <m:r>
              <m:t>t</m:t>
            </m:r>
            <m:r>
              <m:t>r</m:t>
            </m:r>
            <m:r>
              <m:t>a</m:t>
            </m:r>
            <m:r>
              <m:t>i</m:t>
            </m:r>
            <m:r>
              <m:t>n</m:t>
            </m:r>
          </m:sub>
        </m:sSub>
        <m:r>
          <m:rPr>
            <m:sty m:val="p"/>
          </m:rPr>
          <m:t>←</m:t>
        </m:r>
        <m:r>
          <m:t>P</m:t>
        </m:r>
        <m:d>
          <m:dPr>
            <m:begChr m:val="["/>
            <m:endChr m:val="]"/>
            <m:sepChr m:val=""/>
            <m:grow/>
          </m:dPr>
          <m:e>
            <m:r>
              <m:t>0</m:t>
            </m:r>
            <m:r>
              <m:rPr>
                <m:sty m:val="p"/>
              </m:rPr>
              <m:t>:</m:t>
            </m:r>
            <m:sSub>
              <m:e>
                <m:r>
                  <m:t>n</m:t>
                </m:r>
              </m:e>
              <m:sub>
                <m:r>
                  <m:t>t</m:t>
                </m:r>
                <m:r>
                  <m:t>r</m:t>
                </m:r>
                <m:r>
                  <m:t>a</m:t>
                </m:r>
                <m:r>
                  <m:t>i</m:t>
                </m:r>
                <m:r>
                  <m:t>n</m:t>
                </m:r>
              </m:sub>
            </m:sSub>
          </m:e>
        </m:d>
      </m:oMath>
      <w:r>
        <w:t xml:space="preserve"> </w:t>
      </w:r>
      <m:oMath>
        <m:sSub>
          <m:e>
            <m:r>
              <m:t>P</m:t>
            </m:r>
          </m:e>
          <m:sub>
            <m:r>
              <m:t>v</m:t>
            </m:r>
            <m:r>
              <m:t>a</m:t>
            </m:r>
            <m:r>
              <m:t>l</m:t>
            </m:r>
          </m:sub>
        </m:sSub>
        <m:r>
          <m:rPr>
            <m:sty m:val="p"/>
          </m:rPr>
          <m:t>←</m:t>
        </m:r>
        <m:r>
          <m:t>P</m:t>
        </m:r>
        <m:d>
          <m:dPr>
            <m:begChr m:val="["/>
            <m:endChr m:val="]"/>
            <m:sepChr m:val=""/>
            <m:grow/>
          </m:dPr>
          <m:e>
            <m:sSub>
              <m:e>
                <m:r>
                  <m:t>n</m:t>
                </m:r>
              </m:e>
              <m:sub>
                <m:r>
                  <m:t>t</m:t>
                </m:r>
                <m:r>
                  <m:t>r</m:t>
                </m:r>
                <m:r>
                  <m:t>a</m:t>
                </m:r>
                <m:r>
                  <m:t>i</m:t>
                </m:r>
                <m:r>
                  <m:t>n</m:t>
                </m:r>
              </m:sub>
            </m:sSub>
            <m:r>
              <m:rPr>
                <m:sty m:val="p"/>
              </m:rPr>
              <m:t>:</m:t>
            </m:r>
            <m:sSub>
              <m:e>
                <m:r>
                  <m:t>n</m:t>
                </m:r>
              </m:e>
              <m:sub>
                <m:r>
                  <m:t>t</m:t>
                </m:r>
                <m:r>
                  <m:t>r</m:t>
                </m:r>
                <m:r>
                  <m:t>a</m:t>
                </m:r>
                <m:r>
                  <m:t>i</m:t>
                </m:r>
                <m:r>
                  <m:t>n</m:t>
                </m:r>
              </m:sub>
            </m:sSub>
            <m:r>
              <m:rPr>
                <m:sty m:val="p"/>
              </m:rPr>
              <m:t>+</m:t>
            </m:r>
            <m:sSub>
              <m:e>
                <m:r>
                  <m:t>n</m:t>
                </m:r>
              </m:e>
              <m:sub>
                <m:r>
                  <m:t>v</m:t>
                </m:r>
                <m:r>
                  <m:t>a</m:t>
                </m:r>
                <m:r>
                  <m:t>l</m:t>
                </m:r>
              </m:sub>
            </m:sSub>
          </m:e>
        </m:d>
      </m:oMath>
      <w:r>
        <w:t xml:space="preserve"> </w:t>
      </w:r>
      <m:oMath>
        <m:sSub>
          <m:e>
            <m:r>
              <m:t>P</m:t>
            </m:r>
          </m:e>
          <m:sub>
            <m:r>
              <m:t>t</m:t>
            </m:r>
            <m:r>
              <m:t>e</m:t>
            </m:r>
            <m:r>
              <m:t>s</m:t>
            </m:r>
            <m:r>
              <m:t>t</m:t>
            </m:r>
          </m:sub>
        </m:sSub>
        <m:r>
          <m:rPr>
            <m:sty m:val="p"/>
          </m:rPr>
          <m:t>←</m:t>
        </m:r>
        <m:r>
          <m:t>P</m:t>
        </m:r>
        <m:d>
          <m:dPr>
            <m:begChr m:val="["/>
            <m:endChr m:val="]"/>
            <m:sepChr m:val=""/>
            <m:grow/>
          </m:dPr>
          <m:e>
            <m:sSub>
              <m:e>
                <m:r>
                  <m:t>n</m:t>
                </m:r>
              </m:e>
              <m:sub>
                <m:r>
                  <m:t>t</m:t>
                </m:r>
                <m:r>
                  <m:t>r</m:t>
                </m:r>
                <m:r>
                  <m:t>a</m:t>
                </m:r>
                <m:r>
                  <m:t>i</m:t>
                </m:r>
                <m:r>
                  <m:t>n</m:t>
                </m:r>
              </m:sub>
            </m:sSub>
            <m:r>
              <m:rPr>
                <m:sty m:val="p"/>
              </m:rPr>
              <m:t>+</m:t>
            </m:r>
            <m:sSub>
              <m:e>
                <m:r>
                  <m:t>n</m:t>
                </m:r>
              </m:e>
              <m:sub>
                <m:r>
                  <m:t>v</m:t>
                </m:r>
                <m:r>
                  <m:t>a</m:t>
                </m:r>
                <m:r>
                  <m:t>l</m:t>
                </m:r>
              </m:sub>
            </m:sSub>
            <m:r>
              <m:rPr>
                <m:sty m:val="p"/>
              </m:rPr>
              <m:t>:</m:t>
            </m:r>
          </m:e>
        </m:d>
      </m:oMath>
    </w:p>
    <w:p>
      <w:pPr>
        <w:pStyle w:val="BodyText"/>
      </w:pPr>
      <m:oMath>
        <m:sSub>
          <m:e>
            <m:r>
              <m:t>X</m:t>
            </m:r>
          </m:e>
          <m:sub>
            <m:r>
              <m:t>t</m:t>
            </m:r>
            <m:r>
              <m:t>r</m:t>
            </m:r>
            <m:r>
              <m:t>a</m:t>
            </m:r>
            <m:r>
              <m:t>i</m:t>
            </m:r>
            <m:r>
              <m:t>n</m:t>
            </m:r>
          </m:sub>
        </m:sSub>
        <m:r>
          <m:rPr>
            <m:sty m:val="p"/>
          </m:rPr>
          <m:t>,</m:t>
        </m:r>
        <m:sSub>
          <m:e>
            <m:r>
              <m:t>Y</m:t>
            </m:r>
          </m:e>
          <m:sub>
            <m:r>
              <m:t>t</m:t>
            </m:r>
            <m:r>
              <m:t>r</m:t>
            </m:r>
            <m:r>
              <m:t>a</m:t>
            </m:r>
            <m:r>
              <m:t>i</m:t>
            </m:r>
            <m:r>
              <m:t>n</m:t>
            </m:r>
          </m:sub>
        </m:sSub>
        <m:r>
          <m:rPr>
            <m:sty m:val="p"/>
          </m:rPr>
          <m:t>←</m:t>
        </m:r>
        <m:r>
          <m:rPr>
            <m:nor/>
            <m:sty m:val="p"/>
          </m:rPr>
          <m:t>get_samples</m:t>
        </m:r>
        <m:d>
          <m:dPr>
            <m:begChr m:val="("/>
            <m:endChr m:val=")"/>
            <m:sepChr m:val=""/>
            <m:grow/>
          </m:dPr>
          <m:e>
            <m:r>
              <m:t>D</m:t>
            </m:r>
            <m:r>
              <m:rPr>
                <m:sty m:val="p"/>
              </m:rPr>
              <m:t>,</m:t>
            </m:r>
            <m:sSub>
              <m:e>
                <m:r>
                  <m:t>P</m:t>
                </m:r>
              </m:e>
              <m:sub>
                <m:r>
                  <m:t>t</m:t>
                </m:r>
                <m:r>
                  <m:t>r</m:t>
                </m:r>
                <m:r>
                  <m:t>a</m:t>
                </m:r>
                <m:r>
                  <m:t>i</m:t>
                </m:r>
                <m:r>
                  <m:t>n</m:t>
                </m:r>
              </m:sub>
            </m:sSub>
          </m:e>
        </m:d>
      </m:oMath>
      <w:r>
        <w:t xml:space="preserve"> </w:t>
      </w:r>
      <m:oMath>
        <m:sSub>
          <m:e>
            <m:r>
              <m:t>X</m:t>
            </m:r>
          </m:e>
          <m:sub>
            <m:r>
              <m:t>v</m:t>
            </m:r>
            <m:r>
              <m:t>a</m:t>
            </m:r>
            <m:r>
              <m:t>l</m:t>
            </m:r>
          </m:sub>
        </m:sSub>
        <m:r>
          <m:rPr>
            <m:sty m:val="p"/>
          </m:rPr>
          <m:t>,</m:t>
        </m:r>
        <m:sSub>
          <m:e>
            <m:r>
              <m:t>Y</m:t>
            </m:r>
          </m:e>
          <m:sub>
            <m:r>
              <m:t>v</m:t>
            </m:r>
            <m:r>
              <m:t>a</m:t>
            </m:r>
            <m:r>
              <m:t>l</m:t>
            </m:r>
          </m:sub>
        </m:sSub>
        <m:r>
          <m:rPr>
            <m:sty m:val="p"/>
          </m:rPr>
          <m:t>←</m:t>
        </m:r>
        <m:r>
          <m:rPr>
            <m:nor/>
            <m:sty m:val="p"/>
          </m:rPr>
          <m:t>get_samples</m:t>
        </m:r>
        <m:d>
          <m:dPr>
            <m:begChr m:val="("/>
            <m:endChr m:val=")"/>
            <m:sepChr m:val=""/>
            <m:grow/>
          </m:dPr>
          <m:e>
            <m:r>
              <m:t>D</m:t>
            </m:r>
            <m:r>
              <m:rPr>
                <m:sty m:val="p"/>
              </m:rPr>
              <m:t>,</m:t>
            </m:r>
            <m:sSub>
              <m:e>
                <m:r>
                  <m:t>P</m:t>
                </m:r>
              </m:e>
              <m:sub>
                <m:r>
                  <m:t>v</m:t>
                </m:r>
                <m:r>
                  <m:t>a</m:t>
                </m:r>
                <m:r>
                  <m:t>l</m:t>
                </m:r>
              </m:sub>
            </m:sSub>
          </m:e>
        </m:d>
      </m:oMath>
      <w:r>
        <w:t xml:space="preserve"> </w:t>
      </w:r>
      <m:oMath>
        <m:sSub>
          <m:e>
            <m:r>
              <m:t>X</m:t>
            </m:r>
          </m:e>
          <m:sub>
            <m:r>
              <m:t>t</m:t>
            </m:r>
            <m:r>
              <m:t>e</m:t>
            </m:r>
            <m:r>
              <m:t>s</m:t>
            </m:r>
            <m:r>
              <m:t>t</m:t>
            </m:r>
          </m:sub>
        </m:sSub>
        <m:r>
          <m:rPr>
            <m:sty m:val="p"/>
          </m:rPr>
          <m:t>,</m:t>
        </m:r>
        <m:sSub>
          <m:e>
            <m:r>
              <m:t>Y</m:t>
            </m:r>
          </m:e>
          <m:sub>
            <m:r>
              <m:t>t</m:t>
            </m:r>
            <m:r>
              <m:t>e</m:t>
            </m:r>
            <m:r>
              <m:t>s</m:t>
            </m:r>
            <m:r>
              <m:t>t</m:t>
            </m:r>
          </m:sub>
        </m:sSub>
        <m:r>
          <m:rPr>
            <m:sty m:val="p"/>
          </m:rPr>
          <m:t>←</m:t>
        </m:r>
        <m:r>
          <m:rPr>
            <m:nor/>
            <m:sty m:val="p"/>
          </m:rPr>
          <m:t>get_samples</m:t>
        </m:r>
        <m:d>
          <m:dPr>
            <m:begChr m:val="("/>
            <m:endChr m:val=")"/>
            <m:sepChr m:val=""/>
            <m:grow/>
          </m:dPr>
          <m:e>
            <m:r>
              <m:t>D</m:t>
            </m:r>
            <m:r>
              <m:rPr>
                <m:sty m:val="p"/>
              </m:rPr>
              <m:t>,</m:t>
            </m:r>
            <m:sSub>
              <m:e>
                <m:r>
                  <m:t>P</m:t>
                </m:r>
              </m:e>
              <m:sub>
                <m:r>
                  <m:t>t</m:t>
                </m:r>
                <m:r>
                  <m:t>e</m:t>
                </m:r>
                <m:r>
                  <m:t>s</m:t>
                </m:r>
                <m:r>
                  <m:t>t</m:t>
                </m:r>
              </m:sub>
            </m:sSub>
          </m:e>
        </m:d>
      </m:oMath>
    </w:p>
    <w:p>
      <w:pPr>
        <w:pStyle w:val="BodyText"/>
      </w:pPr>
      <m:oMath>
        <m:sSub>
          <m:e>
            <m:r>
              <m:t>P</m:t>
            </m:r>
          </m:e>
          <m:sub>
            <m:r>
              <m:t>t</m:t>
            </m:r>
            <m:r>
              <m:t>r</m:t>
            </m:r>
            <m:r>
              <m:t>a</m:t>
            </m:r>
            <m:r>
              <m:t>i</m:t>
            </m:r>
            <m:r>
              <m:t>n</m:t>
            </m:r>
          </m:sub>
        </m:sSub>
        <m:r>
          <m:rPr>
            <m:sty m:val="p"/>
          </m:rPr>
          <m:t>∩</m:t>
        </m:r>
        <m:sSub>
          <m:e>
            <m:r>
              <m:t>P</m:t>
            </m:r>
          </m:e>
          <m:sub>
            <m:r>
              <m:t>v</m:t>
            </m:r>
            <m:r>
              <m:t>a</m:t>
            </m:r>
            <m:r>
              <m:t>l</m:t>
            </m:r>
          </m:sub>
        </m:sSub>
        <m:r>
          <m:rPr>
            <m:sty m:val="p"/>
          </m:rPr>
          <m:t>=</m:t>
        </m:r>
        <m:r>
          <m:rPr>
            <m:sty m:val="p"/>
          </m:rPr>
          <m:t>∅</m:t>
        </m:r>
      </m:oMath>
      <w:r>
        <w:t xml:space="preserve"> </w:t>
      </w:r>
      <m:oMath>
        <m:sSub>
          <m:e>
            <m:r>
              <m:t>P</m:t>
            </m:r>
          </m:e>
          <m:sub>
            <m:r>
              <m:t>t</m:t>
            </m:r>
            <m:r>
              <m:t>r</m:t>
            </m:r>
            <m:r>
              <m:t>a</m:t>
            </m:r>
            <m:r>
              <m:t>i</m:t>
            </m:r>
            <m:r>
              <m:t>n</m:t>
            </m:r>
          </m:sub>
        </m:sSub>
        <m:r>
          <m:rPr>
            <m:sty m:val="p"/>
          </m:rPr>
          <m:t>∩</m:t>
        </m:r>
        <m:sSub>
          <m:e>
            <m:r>
              <m:t>P</m:t>
            </m:r>
          </m:e>
          <m:sub>
            <m:r>
              <m:t>t</m:t>
            </m:r>
            <m:r>
              <m:t>e</m:t>
            </m:r>
            <m:r>
              <m:t>s</m:t>
            </m:r>
            <m:r>
              <m:t>t</m:t>
            </m:r>
          </m:sub>
        </m:sSub>
        <m:r>
          <m:rPr>
            <m:sty m:val="p"/>
          </m:rPr>
          <m:t>=</m:t>
        </m:r>
        <m:r>
          <m:rPr>
            <m:sty m:val="p"/>
          </m:rPr>
          <m:t>∅</m:t>
        </m:r>
      </m:oMath>
      <w:r>
        <w:t xml:space="preserve"> </w:t>
      </w:r>
      <m:oMath>
        <m:sSub>
          <m:e>
            <m:r>
              <m:t>P</m:t>
            </m:r>
          </m:e>
          <m:sub>
            <m:r>
              <m:t>v</m:t>
            </m:r>
            <m:r>
              <m:t>a</m:t>
            </m:r>
            <m:r>
              <m:t>l</m:t>
            </m:r>
          </m:sub>
        </m:sSub>
        <m:r>
          <m:rPr>
            <m:sty m:val="p"/>
          </m:rPr>
          <m:t>∩</m:t>
        </m:r>
        <m:sSub>
          <m:e>
            <m:r>
              <m:t>P</m:t>
            </m:r>
          </m:e>
          <m:sub>
            <m:r>
              <m:t>t</m:t>
            </m:r>
            <m:r>
              <m:t>e</m:t>
            </m:r>
            <m:r>
              <m:t>s</m:t>
            </m:r>
            <m:r>
              <m:t>t</m:t>
            </m:r>
          </m:sub>
        </m:sSub>
        <m:r>
          <m:rPr>
            <m:sty m:val="p"/>
          </m:rPr>
          <m:t>=</m:t>
        </m:r>
        <m:r>
          <m:rPr>
            <m:sty m:val="p"/>
          </m:rPr>
          <m:t>∅</m:t>
        </m:r>
      </m:oMath>
    </w:p>
    <w:p>
      <w:pPr>
        <w:pStyle w:val="BodyText"/>
      </w:pPr>
      <m:oMath>
        <m:d>
          <m:dPr>
            <m:begChr m:val="("/>
            <m:endChr m:val=")"/>
            <m:sepChr m:val=""/>
            <m:grow/>
          </m:dPr>
          <m:e>
            <m:sSub>
              <m:e>
                <m:r>
                  <m:t>X</m:t>
                </m:r>
              </m:e>
              <m:sub>
                <m:r>
                  <m:t>t</m:t>
                </m:r>
                <m:r>
                  <m:t>r</m:t>
                </m:r>
                <m:r>
                  <m:t>a</m:t>
                </m:r>
                <m:r>
                  <m:t>i</m:t>
                </m:r>
                <m:r>
                  <m:t>n</m:t>
                </m:r>
              </m:sub>
            </m:sSub>
            <m:r>
              <m:rPr>
                <m:sty m:val="p"/>
              </m:rPr>
              <m:t>,</m:t>
            </m:r>
            <m:sSub>
              <m:e>
                <m:r>
                  <m:t>Y</m:t>
                </m:r>
              </m:e>
              <m:sub>
                <m:r>
                  <m:t>t</m:t>
                </m:r>
                <m:r>
                  <m:t>r</m:t>
                </m:r>
                <m:r>
                  <m:t>a</m:t>
                </m:r>
                <m:r>
                  <m:t>i</m:t>
                </m:r>
                <m:r>
                  <m:t>n</m:t>
                </m:r>
              </m:sub>
            </m:sSub>
          </m:e>
        </m:d>
        <m:r>
          <m:rPr>
            <m:sty m:val="p"/>
          </m:rPr>
          <m:t>,</m:t>
        </m:r>
        <m:d>
          <m:dPr>
            <m:begChr m:val="("/>
            <m:endChr m:val=")"/>
            <m:sepChr m:val=""/>
            <m:grow/>
          </m:dPr>
          <m:e>
            <m:sSub>
              <m:e>
                <m:r>
                  <m:t>X</m:t>
                </m:r>
              </m:e>
              <m:sub>
                <m:r>
                  <m:t>v</m:t>
                </m:r>
                <m:r>
                  <m:t>a</m:t>
                </m:r>
                <m:r>
                  <m:t>l</m:t>
                </m:r>
              </m:sub>
            </m:sSub>
            <m:r>
              <m:rPr>
                <m:sty m:val="p"/>
              </m:rPr>
              <m:t>,</m:t>
            </m:r>
            <m:sSub>
              <m:e>
                <m:r>
                  <m:t>Y</m:t>
                </m:r>
              </m:e>
              <m:sub>
                <m:r>
                  <m:t>v</m:t>
                </m:r>
                <m:r>
                  <m:t>a</m:t>
                </m:r>
                <m:r>
                  <m:t>l</m:t>
                </m:r>
              </m:sub>
            </m:sSub>
          </m:e>
        </m:d>
        <m:r>
          <m:rPr>
            <m:sty m:val="p"/>
          </m:rPr>
          <m:t>,</m:t>
        </m:r>
        <m:d>
          <m:dPr>
            <m:begChr m:val="("/>
            <m:endChr m:val=")"/>
            <m:sepChr m:val=""/>
            <m:grow/>
          </m:dPr>
          <m:e>
            <m:sSub>
              <m:e>
                <m:r>
                  <m:t>X</m:t>
                </m:r>
              </m:e>
              <m:sub>
                <m:r>
                  <m:t>t</m:t>
                </m:r>
                <m:r>
                  <m:t>e</m:t>
                </m:r>
                <m:r>
                  <m:t>s</m:t>
                </m:r>
                <m:r>
                  <m:t>t</m:t>
                </m:r>
              </m:sub>
            </m:sSub>
            <m:r>
              <m:rPr>
                <m:sty m:val="p"/>
              </m:rPr>
              <m:t>,</m:t>
            </m:r>
            <m:sSub>
              <m:e>
                <m:r>
                  <m:t>Y</m:t>
                </m:r>
              </m:e>
              <m:sub>
                <m:r>
                  <m:t>t</m:t>
                </m:r>
                <m:r>
                  <m:t>e</m:t>
                </m:r>
                <m:r>
                  <m:t>s</m:t>
                </m:r>
                <m:r>
                  <m:t>t</m:t>
                </m:r>
              </m:sub>
            </m:sSub>
          </m:e>
        </m:d>
      </m:oMath>
    </w:p>
    <w:p>
      <w:pPr>
        <w:pStyle w:val="BodyText"/>
      </w:pPr>
      <w:r>
        <w:t xml:space="preserve">This methodology ensures that test set performance reflects true generalization to unseen patients rather than memorization of patient-specific patterns. Implementation verification confirms zero patient overlap across splits (see code in</w:t>
      </w:r>
      <w:r>
        <w:t xml:space="preserve"> </w:t>
      </w:r>
      <w:r>
        <w:rPr>
          <w:rStyle w:val="VerbatimChar"/>
        </w:rPr>
        <w:t xml:space="preserve">model_train.py:300-365</w:t>
      </w:r>
      <w:r>
        <w:t xml:space="preserve">).</w:t>
      </w:r>
    </w:p>
    <w:bookmarkEnd w:id="45"/>
    <w:bookmarkStart w:id="47" w:name="data-augmentation"/>
    <w:p>
      <w:pPr>
        <w:pStyle w:val="Heading3"/>
      </w:pPr>
      <w:r>
        <w:t xml:space="preserve">Data Augmentation</w:t>
      </w:r>
    </w:p>
    <w:p>
      <w:pPr>
        <w:pStyle w:val="FirstParagraph"/>
      </w:pPr>
      <w:r>
        <w:t xml:space="preserve">To address class imbalance prevalent in medical datasets, we implement synthetic data augmentation including temporal shifting, amplitude scaling, and additive Gaussian noise:</w:t>
      </w:r>
    </w:p>
    <w:bookmarkStart w:id="46" w:name="lst:augment"/>
    <w:p>
      <w:pPr>
        <w:pStyle w:val="SourceCode"/>
      </w:pPr>
      <w:r>
        <w:rPr>
          <w:rStyle w:val="VerbatimChar"/>
        </w:rPr>
        <w:t xml:space="preserve">def augment_signal(signal, noise_factor=0.05):</w:t>
      </w:r>
      <w:r>
        <w:br/>
      </w:r>
      <w:r>
        <w:rPr>
          <w:rStyle w:val="VerbatimChar"/>
        </w:rPr>
        <w:t xml:space="preserve">    # Add Gaussian noise</w:t>
      </w:r>
      <w:r>
        <w:br/>
      </w:r>
      <w:r>
        <w:rPr>
          <w:rStyle w:val="VerbatimChar"/>
        </w:rPr>
        <w:t xml:space="preserve">    noise = np.random.normal(0, noise_factor, signal.shape)</w:t>
      </w:r>
      <w:r>
        <w:br/>
      </w:r>
      <w:r>
        <w:rPr>
          <w:rStyle w:val="VerbatimChar"/>
        </w:rPr>
        <w:t xml:space="preserve">    augmented = signal + noise</w:t>
      </w:r>
      <w:r>
        <w:br/>
      </w:r>
      <w:r>
        <w:rPr>
          <w:rStyle w:val="VerbatimChar"/>
        </w:rPr>
        <w:t xml:space="preserve">    </w:t>
      </w:r>
      <w:r>
        <w:br/>
      </w:r>
      <w:r>
        <w:rPr>
          <w:rStyle w:val="VerbatimChar"/>
        </w:rPr>
        <w:t xml:space="preserve">    # Random amplitude scaling</w:t>
      </w:r>
      <w:r>
        <w:br/>
      </w:r>
      <w:r>
        <w:rPr>
          <w:rStyle w:val="VerbatimChar"/>
        </w:rPr>
        <w:t xml:space="preserve">    scale = np.random.uniform(0.8, 1.2)</w:t>
      </w:r>
      <w:r>
        <w:br/>
      </w:r>
      <w:r>
        <w:rPr>
          <w:rStyle w:val="VerbatimChar"/>
        </w:rPr>
        <w:t xml:space="preserve">    augmented = augmented * scale</w:t>
      </w:r>
      <w:r>
        <w:br/>
      </w:r>
      <w:r>
        <w:rPr>
          <w:rStyle w:val="VerbatimChar"/>
        </w:rPr>
        <w:t xml:space="preserve">    </w:t>
      </w:r>
      <w:r>
        <w:br/>
      </w:r>
      <w:r>
        <w:rPr>
          <w:rStyle w:val="VerbatimChar"/>
        </w:rPr>
        <w:t xml:space="preserve">    return augmented</w:t>
      </w:r>
    </w:p>
    <w:bookmarkEnd w:id="46"/>
    <w:bookmarkEnd w:id="47"/>
    <w:bookmarkStart w:id="48" w:name="loss-function"/>
    <w:p>
      <w:pPr>
        <w:pStyle w:val="Heading3"/>
      </w:pPr>
      <w:r>
        <w:t xml:space="preserve">Loss Function</w:t>
      </w:r>
    </w:p>
    <w:p>
      <w:pPr>
        <w:pStyle w:val="FirstParagraph"/>
      </w:pPr>
      <w:r>
        <w:t xml:space="preserve">We employ categorical cross-entropy loss with class weights to handle imbalanced datasets:</w:t>
      </w:r>
    </w:p>
    <w:p>
      <w:pPr>
        <w:pStyle w:val="BodyText"/>
      </w:pPr>
      <m:oMathPara>
        <m:oMathParaPr>
          <m:jc m:val="center"/>
        </m:oMathParaPr>
        <m:oMath>
          <m:r>
            <m:t>L</m:t>
          </m:r>
          <m:r>
            <m:rPr>
              <m:sty m:val="p"/>
            </m:rPr>
            <m:t>=</m:t>
          </m:r>
          <m:r>
            <m:rPr>
              <m:sty m:val="p"/>
            </m:rPr>
            <m:t>−</m:t>
          </m:r>
          <m:nary>
            <m:naryPr>
              <m:chr m:val="∑"/>
              <m:limLoc m:val="undOvr"/>
              <m:subHide m:val="0"/>
              <m:supHide m:val="1"/>
            </m:naryPr>
            <m:sub>
              <m:r>
                <m:t>c</m:t>
              </m:r>
            </m:sub>
            <m:sup>
              <m:r>
                <m:t>​</m:t>
              </m:r>
            </m:sup>
            <m:e>
              <m:sSub>
                <m:e>
                  <m:r>
                    <m:t>w</m:t>
                  </m:r>
                </m:e>
                <m:sub>
                  <m:r>
                    <m:t>c</m:t>
                  </m:r>
                </m:sub>
              </m:sSub>
            </m:e>
          </m:nary>
          <m:r>
            <m:rPr>
              <m:sty m:val="p"/>
            </m:rPr>
            <m:t>⋅</m:t>
          </m:r>
          <m:sSub>
            <m:e>
              <m:r>
                <m:t>y</m:t>
              </m:r>
            </m:e>
            <m:sub>
              <m:r>
                <m:t>c</m:t>
              </m:r>
            </m:sub>
          </m:sSub>
          <m:r>
            <m:rPr>
              <m:sty m:val="p"/>
            </m:rPr>
            <m:t>⋅</m:t>
          </m:r>
          <m:r>
            <m:rPr>
              <m:sty m:val="p"/>
            </m:rPr>
            <m:t>log</m:t>
          </m:r>
          <m:d>
            <m:dPr>
              <m:begChr m:val="("/>
              <m:endChr m:val=")"/>
              <m:sepChr m:val=""/>
              <m:grow/>
            </m:dPr>
            <m:e>
              <m:sSub>
                <m:e>
                  <m:acc>
                    <m:accPr>
                      <m:chr m:val="̂"/>
                    </m:accPr>
                    <m:e>
                      <m:r>
                        <m:t>y</m:t>
                      </m:r>
                    </m:e>
                  </m:acc>
                </m:e>
                <m:sub>
                  <m:r>
                    <m:t>c</m:t>
                  </m:r>
                </m:sub>
              </m:sSub>
            </m:e>
          </m:d>
        </m:oMath>
      </m:oMathPara>
    </w:p>
    <w:p>
      <w:pPr>
        <w:pStyle w:val="FirstParagraph"/>
      </w:pPr>
      <w:r>
        <w:t xml:space="preserve">where</w:t>
      </w:r>
      <w:r>
        <w:t xml:space="preserve"> </w:t>
      </w:r>
      <m:oMath>
        <m:sSub>
          <m:e>
            <m:r>
              <m:t>w</m:t>
            </m:r>
          </m:e>
          <m:sub>
            <m:r>
              <m:t>c</m:t>
            </m:r>
          </m:sub>
        </m:sSub>
      </m:oMath>
      <w:r>
        <w:t xml:space="preserve"> </w:t>
      </w:r>
      <w:r>
        <w:t xml:space="preserve">represents the class weight inversely proportional to class frequency.</w:t>
      </w:r>
    </w:p>
    <w:bookmarkEnd w:id="48"/>
    <w:bookmarkStart w:id="50" w:name="optimization"/>
    <w:p>
      <w:pPr>
        <w:pStyle w:val="Heading3"/>
      </w:pPr>
      <w:r>
        <w:t xml:space="preserve">Optimization</w:t>
      </w:r>
    </w:p>
    <w:p>
      <w:pPr>
        <w:pStyle w:val="FirstParagraph"/>
      </w:pPr>
      <w:r>
        <w:t xml:space="preserve">The Adam optimizer with learning rate scheduling provides efficient convergence:</w:t>
      </w:r>
    </w:p>
    <w:bookmarkStart w:id="49" w:name="lst:optimizer"/>
    <w:p>
      <w:pPr>
        <w:pStyle w:val="SourceCode"/>
      </w:pPr>
      <w:r>
        <w:rPr>
          <w:rStyle w:val="VerbatimChar"/>
        </w:rPr>
        <w:t xml:space="preserve">optimizer = Adam(learning_rate=0.001, </w:t>
      </w:r>
      <w:r>
        <w:br/>
      </w:r>
      <w:r>
        <w:rPr>
          <w:rStyle w:val="VerbatimChar"/>
        </w:rPr>
        <w:t xml:space="preserve">                 beta_1=0.9, </w:t>
      </w:r>
      <w:r>
        <w:br/>
      </w:r>
      <w:r>
        <w:rPr>
          <w:rStyle w:val="VerbatimChar"/>
        </w:rPr>
        <w:t xml:space="preserve">                 beta_2=0.999)</w:t>
      </w:r>
      <w:r>
        <w:br/>
      </w:r>
      <w:r>
        <w:rPr>
          <w:rStyle w:val="VerbatimChar"/>
        </w:rPr>
        <w:t xml:space="preserve">lr_scheduler = ReduceLROnPlateau(factor=0.5, </w:t>
      </w:r>
      <w:r>
        <w:br/>
      </w:r>
      <w:r>
        <w:rPr>
          <w:rStyle w:val="VerbatimChar"/>
        </w:rPr>
        <w:t xml:space="preserve">                                 patience=10)</w:t>
      </w:r>
    </w:p>
    <w:bookmarkEnd w:id="49"/>
    <w:bookmarkEnd w:id="50"/>
    <w:bookmarkEnd w:id="51"/>
    <w:bookmarkEnd w:id="52"/>
    <w:bookmarkStart w:id="57" w:name="natural-language-generation"/>
    <w:p>
      <w:pPr>
        <w:pStyle w:val="Heading1"/>
      </w:pPr>
      <w:r>
        <w:t xml:space="preserve">Natural Language Generation</w:t>
      </w:r>
    </w:p>
    <w:p>
      <w:pPr>
        <w:pStyle w:val="FirstParagraph"/>
      </w:pPr>
      <w:r>
        <w:t xml:space="preserve">The integration of GPT-4 for clinical interpretation represents a key innovation in making diagnostic results accessible to non-specialist healthcare workers. Unlike earlier approaches requiring fine-tuning on medical corpora, GPT-4 possesses extensive built-in medical knowledge, enabling zero-shot clinical interpretation through structured prompt engineering.</w:t>
      </w:r>
    </w:p>
    <w:bookmarkStart w:id="54" w:name="prompt-engineering"/>
    <w:p>
      <w:pPr>
        <w:pStyle w:val="Heading2"/>
      </w:pPr>
      <w:r>
        <w:t xml:space="preserve">Prompt Engineering</w:t>
      </w:r>
    </w:p>
    <w:p>
      <w:pPr>
        <w:pStyle w:val="FirstParagraph"/>
      </w:pPr>
      <w:r>
        <w:t xml:space="preserve">We design specialized prompts that incorporate classification results, confidence scores, and relevant clinical context. The prompt template follows a structured format optimized for GPT-4’s capabilities:</w:t>
      </w:r>
    </w:p>
    <w:bookmarkStart w:id="53" w:name="lst:prompt"/>
    <w:p>
      <w:pPr>
        <w:pStyle w:val="SourceCode"/>
      </w:pPr>
      <w:r>
        <w:rPr>
          <w:rStyle w:val="VerbatimChar"/>
        </w:rPr>
        <w:t xml:space="preserve">prompt_template = """</w:t>
      </w:r>
      <w:r>
        <w:br/>
      </w:r>
      <w:r>
        <w:rPr>
          <w:rStyle w:val="VerbatimChar"/>
        </w:rPr>
        <w:t xml:space="preserve">You are a medical AI assistant helping primary care</w:t>
      </w:r>
      <w:r>
        <w:br/>
      </w:r>
      <w:r>
        <w:rPr>
          <w:rStyle w:val="VerbatimChar"/>
        </w:rPr>
        <w:t xml:space="preserve">practitioners interpret biomedical signal analysis results.</w:t>
      </w:r>
      <w:r>
        <w:br/>
      </w:r>
      <w:r>
        <w:br/>
      </w:r>
      <w:r>
        <w:rPr>
          <w:rStyle w:val="VerbatimChar"/>
        </w:rPr>
        <w:t xml:space="preserve">Medical Signal Analysis Report:</w:t>
      </w:r>
      <w:r>
        <w:br/>
      </w:r>
      <w:r>
        <w:rPr>
          <w:rStyle w:val="VerbatimChar"/>
        </w:rPr>
        <w:t xml:space="preserve">- Signal Type: {signal_type}</w:t>
      </w:r>
      <w:r>
        <w:br/>
      </w:r>
      <w:r>
        <w:rPr>
          <w:rStyle w:val="VerbatimChar"/>
        </w:rPr>
        <w:t xml:space="preserve">- Classification: {classification}</w:t>
      </w:r>
      <w:r>
        <w:br/>
      </w:r>
      <w:r>
        <w:rPr>
          <w:rStyle w:val="VerbatimChar"/>
        </w:rPr>
        <w:t xml:space="preserve">- Confidence: {confidence:.2%}</w:t>
      </w:r>
      <w:r>
        <w:br/>
      </w:r>
      <w:r>
        <w:rPr>
          <w:rStyle w:val="VerbatimChar"/>
        </w:rPr>
        <w:t xml:space="preserve">- Clinical Context: {context}</w:t>
      </w:r>
      <w:r>
        <w:br/>
      </w:r>
      <w:r>
        <w:br/>
      </w:r>
      <w:r>
        <w:rPr>
          <w:rStyle w:val="VerbatimChar"/>
        </w:rPr>
        <w:t xml:space="preserve">Provide a detailed clinical interpretation including:</w:t>
      </w:r>
      <w:r>
        <w:br/>
      </w:r>
      <w:r>
        <w:rPr>
          <w:rStyle w:val="VerbatimChar"/>
        </w:rPr>
        <w:t xml:space="preserve">1. Explanation of the finding</w:t>
      </w:r>
      <w:r>
        <w:br/>
      </w:r>
      <w:r>
        <w:rPr>
          <w:rStyle w:val="VerbatimChar"/>
        </w:rPr>
        <w:t xml:space="preserve">2. Clinical significance</w:t>
      </w:r>
      <w:r>
        <w:br/>
      </w:r>
      <w:r>
        <w:rPr>
          <w:rStyle w:val="VerbatimChar"/>
        </w:rPr>
        <w:t xml:space="preserve">3. Recommended follow-up actions</w:t>
      </w:r>
      <w:r>
        <w:br/>
      </w:r>
      <w:r>
        <w:br/>
      </w:r>
      <w:r>
        <w:rPr>
          <w:rStyle w:val="VerbatimChar"/>
        </w:rPr>
        <w:t xml:space="preserve">Keep the response professional, clear, and actionable</w:t>
      </w:r>
      <w:r>
        <w:br/>
      </w:r>
      <w:r>
        <w:rPr>
          <w:rStyle w:val="VerbatimChar"/>
        </w:rPr>
        <w:t xml:space="preserve">for healthcare workers in underserved regions.</w:t>
      </w:r>
      <w:r>
        <w:br/>
      </w:r>
      <w:r>
        <w:rPr>
          <w:rStyle w:val="VerbatimChar"/>
        </w:rPr>
        <w:t xml:space="preserve">"""</w:t>
      </w:r>
    </w:p>
    <w:bookmarkEnd w:id="53"/>
    <w:bookmarkEnd w:id="54"/>
    <w:bookmarkStart w:id="56" w:name="gpt-4-api-integration"/>
    <w:p>
      <w:pPr>
        <w:pStyle w:val="Heading2"/>
      </w:pPr>
      <w:r>
        <w:t xml:space="preserve">GPT-4 API Integration</w:t>
      </w:r>
    </w:p>
    <w:p>
      <w:pPr>
        <w:pStyle w:val="FirstParagraph"/>
      </w:pPr>
      <w:r>
        <w:t xml:space="preserve">The system leverages OpenAI’s GPT-4 API for natural language generation, providing several advantages over locally fine-tuned models:</w:t>
      </w:r>
    </w:p>
    <w:p>
      <w:pPr>
        <w:pStyle w:val="BodyText"/>
      </w:pPr>
      <w:r>
        <w:rPr>
          <w:bCs/>
          <w:b/>
        </w:rPr>
        <w:t xml:space="preserve">Advantages:</w:t>
      </w:r>
    </w:p>
    <w:p>
      <w:pPr>
        <w:numPr>
          <w:ilvl w:val="0"/>
          <w:numId w:val="1008"/>
        </w:numPr>
      </w:pPr>
      <w:r>
        <w:rPr>
          <w:bCs/>
          <w:b/>
        </w:rPr>
        <w:t xml:space="preserve">Superior Medical Knowledge:</w:t>
      </w:r>
      <w:r>
        <w:t xml:space="preserve"> </w:t>
      </w:r>
      <w:r>
        <w:t xml:space="preserve">GPT-4 has extensive pre-training on medical literature, eliminating the need for domain-specific fine-tuning</w:t>
      </w:r>
    </w:p>
    <w:p>
      <w:pPr>
        <w:numPr>
          <w:ilvl w:val="0"/>
          <w:numId w:val="1008"/>
        </w:numPr>
      </w:pPr>
      <w:r>
        <w:rPr>
          <w:bCs/>
          <w:b/>
        </w:rPr>
        <w:t xml:space="preserve">Better Clinical Accuracy:</w:t>
      </w:r>
      <w:r>
        <w:t xml:space="preserve"> </w:t>
      </w:r>
      <w:r>
        <w:t xml:space="preserve">Expert review shows improved clinical accuracy (4.3/5.0) and clarity (4.6/5.0) compared to earlier language models</w:t>
      </w:r>
    </w:p>
    <w:p>
      <w:pPr>
        <w:numPr>
          <w:ilvl w:val="0"/>
          <w:numId w:val="1008"/>
        </w:numPr>
      </w:pPr>
      <w:r>
        <w:rPr>
          <w:bCs/>
          <w:b/>
        </w:rPr>
        <w:t xml:space="preserve">No Local Deployment:</w:t>
      </w:r>
      <w:r>
        <w:t xml:space="preserve"> </w:t>
      </w:r>
      <w:r>
        <w:t xml:space="preserve">API-based access eliminates need for large model hosting (GPT-4 has 1.7T parameters vs. 345M for GPT-2-medium)</w:t>
      </w:r>
    </w:p>
    <w:p>
      <w:pPr>
        <w:numPr>
          <w:ilvl w:val="0"/>
          <w:numId w:val="1008"/>
        </w:numPr>
      </w:pPr>
      <w:r>
        <w:rPr>
          <w:bCs/>
          <w:b/>
        </w:rPr>
        <w:t xml:space="preserve">Always Current:</w:t>
      </w:r>
      <w:r>
        <w:t xml:space="preserve"> </w:t>
      </w:r>
      <w:r>
        <w:t xml:space="preserve">Regular model updates from OpenAI improve performance over time</w:t>
      </w:r>
    </w:p>
    <w:p>
      <w:pPr>
        <w:numPr>
          <w:ilvl w:val="0"/>
          <w:numId w:val="1008"/>
        </w:numPr>
      </w:pPr>
      <w:r>
        <w:rPr>
          <w:bCs/>
          <w:b/>
        </w:rPr>
        <w:t xml:space="preserve">Reduced Complexity:</w:t>
      </w:r>
      <w:r>
        <w:t xml:space="preserve"> </w:t>
      </w:r>
      <w:r>
        <w:t xml:space="preserve">No fine-tuning infrastructure or medical corpus curation required</w:t>
      </w:r>
    </w:p>
    <w:p>
      <w:pPr>
        <w:pStyle w:val="FirstParagraph"/>
      </w:pPr>
      <w:r>
        <w:rPr>
          <w:bCs/>
          <w:b/>
        </w:rPr>
        <w:t xml:space="preserve">Implementation:</w:t>
      </w:r>
    </w:p>
    <w:bookmarkStart w:id="55" w:name="lst:gpt4"/>
    <w:p>
      <w:pPr>
        <w:pStyle w:val="SourceCode"/>
      </w:pPr>
      <w:r>
        <w:rPr>
          <w:rStyle w:val="VerbatimChar"/>
        </w:rPr>
        <w:t xml:space="preserve">from openai import OpenAI</w:t>
      </w:r>
      <w:r>
        <w:br/>
      </w:r>
      <w:r>
        <w:br/>
      </w:r>
      <w:r>
        <w:rPr>
          <w:rStyle w:val="VerbatimChar"/>
        </w:rPr>
        <w:t xml:space="preserve">client = OpenAI(api_key=os.environ.get('OPENAI_API_KEY'))</w:t>
      </w:r>
      <w:r>
        <w:br/>
      </w:r>
      <w:r>
        <w:br/>
      </w:r>
      <w:r>
        <w:rPr>
          <w:rStyle w:val="VerbatimChar"/>
        </w:rPr>
        <w:t xml:space="preserve">response = client.chat.completions.create(</w:t>
      </w:r>
      <w:r>
        <w:br/>
      </w:r>
      <w:r>
        <w:rPr>
          <w:rStyle w:val="VerbatimChar"/>
        </w:rPr>
        <w:t xml:space="preserve">    model="gpt-4",</w:t>
      </w:r>
      <w:r>
        <w:br/>
      </w:r>
      <w:r>
        <w:rPr>
          <w:rStyle w:val="VerbatimChar"/>
        </w:rPr>
        <w:t xml:space="preserve">    messages=[</w:t>
      </w:r>
      <w:r>
        <w:br/>
      </w:r>
      <w:r>
        <w:rPr>
          <w:rStyle w:val="VerbatimChar"/>
        </w:rPr>
        <w:t xml:space="preserve">        {"role": "system",</w:t>
      </w:r>
      <w:r>
        <w:br/>
      </w:r>
      <w:r>
        <w:rPr>
          <w:rStyle w:val="VerbatimChar"/>
        </w:rPr>
        <w:t xml:space="preserve">         "content": "You are a medical AI assistant..."},</w:t>
      </w:r>
      <w:r>
        <w:br/>
      </w:r>
      <w:r>
        <w:rPr>
          <w:rStyle w:val="VerbatimChar"/>
        </w:rPr>
        <w:t xml:space="preserve">        {"role": "user",</w:t>
      </w:r>
      <w:r>
        <w:br/>
      </w:r>
      <w:r>
        <w:rPr>
          <w:rStyle w:val="VerbatimChar"/>
        </w:rPr>
        <w:t xml:space="preserve">         "content": prompt_template.format(...)}</w:t>
      </w:r>
      <w:r>
        <w:br/>
      </w:r>
      <w:r>
        <w:rPr>
          <w:rStyle w:val="VerbatimChar"/>
        </w:rPr>
        <w:t xml:space="preserve">    ],</w:t>
      </w:r>
      <w:r>
        <w:br/>
      </w:r>
      <w:r>
        <w:rPr>
          <w:rStyle w:val="VerbatimChar"/>
        </w:rPr>
        <w:t xml:space="preserve">    temperature=0.7,</w:t>
      </w:r>
      <w:r>
        <w:br/>
      </w:r>
      <w:r>
        <w:rPr>
          <w:rStyle w:val="VerbatimChar"/>
        </w:rPr>
        <w:t xml:space="preserve">    max_tokens=300,</w:t>
      </w:r>
      <w:r>
        <w:br/>
      </w:r>
      <w:r>
        <w:rPr>
          <w:rStyle w:val="VerbatimChar"/>
        </w:rPr>
        <w:t xml:space="preserve">    top_p=0.9</w:t>
      </w:r>
      <w:r>
        <w:br/>
      </w:r>
      <w:r>
        <w:rPr>
          <w:rStyle w:val="VerbatimChar"/>
        </w:rPr>
        <w:t xml:space="preserve">)</w:t>
      </w:r>
      <w:r>
        <w:br/>
      </w:r>
      <w:r>
        <w:br/>
      </w:r>
      <w:r>
        <w:rPr>
          <w:rStyle w:val="VerbatimChar"/>
        </w:rPr>
        <w:t xml:space="preserve">interpretation = response.choices[0].message.content</w:t>
      </w:r>
    </w:p>
    <w:bookmarkEnd w:id="55"/>
    <w:p>
      <w:pPr>
        <w:pStyle w:val="FirstParagraph"/>
      </w:pPr>
      <w:r>
        <w:rPr>
          <w:bCs/>
          <w:b/>
        </w:rPr>
        <w:t xml:space="preserve">Trade-offs:</w:t>
      </w:r>
    </w:p>
    <w:p>
      <w:pPr>
        <w:numPr>
          <w:ilvl w:val="0"/>
          <w:numId w:val="1009"/>
        </w:numPr>
      </w:pPr>
      <w:r>
        <w:rPr>
          <w:bCs/>
          <w:b/>
        </w:rPr>
        <w:t xml:space="preserve">Connectivity Requirement:</w:t>
      </w:r>
      <w:r>
        <w:t xml:space="preserve"> </w:t>
      </w:r>
      <w:r>
        <w:t xml:space="preserve">Requires reliable internet access for API calls</w:t>
      </w:r>
    </w:p>
    <w:p>
      <w:pPr>
        <w:numPr>
          <w:ilvl w:val="0"/>
          <w:numId w:val="1009"/>
        </w:numPr>
      </w:pPr>
      <w:r>
        <w:rPr>
          <w:bCs/>
          <w:b/>
        </w:rPr>
        <w:t xml:space="preserve">API Costs:</w:t>
      </w:r>
      <w:r>
        <w:t xml:space="preserve"> </w:t>
      </w:r>
      <w:r>
        <w:t xml:space="preserve">Approximately $0.02-$0.05 per interpretation (GPT-4 pricing)</w:t>
      </w:r>
    </w:p>
    <w:p>
      <w:pPr>
        <w:numPr>
          <w:ilvl w:val="0"/>
          <w:numId w:val="1009"/>
        </w:numPr>
      </w:pPr>
      <w:r>
        <w:rPr>
          <w:bCs/>
          <w:b/>
        </w:rPr>
        <w:t xml:space="preserve">Latency:</w:t>
      </w:r>
      <w:r>
        <w:t xml:space="preserve"> </w:t>
      </w:r>
      <w:r>
        <w:t xml:space="preserve">Average 1.3s generation time vs. real-time for local models</w:t>
      </w:r>
    </w:p>
    <w:p>
      <w:pPr>
        <w:numPr>
          <w:ilvl w:val="0"/>
          <w:numId w:val="1009"/>
        </w:numPr>
      </w:pPr>
      <w:r>
        <w:rPr>
          <w:bCs/>
          <w:b/>
        </w:rPr>
        <w:t xml:space="preserve">Data Privacy:</w:t>
      </w:r>
      <w:r>
        <w:t xml:space="preserve"> </w:t>
      </w:r>
      <w:r>
        <w:t xml:space="preserve">Patient data transmitted to OpenAI (though API requests are not used for training)</w:t>
      </w:r>
    </w:p>
    <w:p>
      <w:pPr>
        <w:pStyle w:val="FirstParagraph"/>
      </w:pPr>
      <w:r>
        <w:t xml:space="preserve">For deployment scenarios with connectivity constraints or strict data locality requirements, future work could explore locally deployable alternatives (e.g., fine-tuned Llama-3-70B, Mistral-Large) or offline fallback to template-based interpretations.</w:t>
      </w:r>
    </w:p>
    <w:bookmarkEnd w:id="56"/>
    <w:bookmarkEnd w:id="57"/>
    <w:bookmarkStart w:id="62" w:name="implementation-details"/>
    <w:p>
      <w:pPr>
        <w:pStyle w:val="Heading1"/>
      </w:pPr>
      <w:r>
        <w:t xml:space="preserve">Implementation Details</w:t>
      </w:r>
    </w:p>
    <w:bookmarkStart w:id="59" w:name="dataset-integration"/>
    <w:p>
      <w:pPr>
        <w:pStyle w:val="Heading2"/>
      </w:pPr>
      <w:r>
        <w:t xml:space="preserve">Dataset Integration</w:t>
      </w:r>
    </w:p>
    <w:p>
      <w:pPr>
        <w:pStyle w:val="FirstParagraph"/>
      </w:pPr>
      <w:r>
        <w:t xml:space="preserve">The system integrates three single-label biomedical signal datasets from PhysioNet, each presenting unique characteristics and clinical applications suitable for point-of-care diagnostics. Table </w:t>
      </w:r>
      <w:hyperlink w:anchor="tab:datasets">
        <w:r>
          <w:rPr>
            <w:rStyle w:val="Hyperlink"/>
          </w:rPr>
          <w:t xml:space="preserve">[tab:datasets]</w:t>
        </w:r>
      </w:hyperlink>
      <w:r>
        <w:t xml:space="preserve"> </w:t>
      </w:r>
      <w:r>
        <w:t xml:space="preserve">summarizes the dataset specifications and preprocessing parameters.</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Cs/>
                <w:b/>
              </w:rPr>
              <w:t xml:space="preserve">Dataset</w:t>
            </w:r>
          </w:p>
        </w:tc>
        <w:tc>
          <w:tcPr/>
          <w:p>
            <w:pPr>
              <w:pStyle w:val="Compact"/>
              <w:jc w:val="center"/>
            </w:pPr>
            <w:r>
              <w:rPr>
                <w:bCs/>
                <w:b/>
              </w:rPr>
              <w:t xml:space="preserve">Records</w:t>
            </w:r>
          </w:p>
        </w:tc>
        <w:tc>
          <w:tcPr/>
          <w:p>
            <w:pPr>
              <w:pStyle w:val="Compact"/>
              <w:jc w:val="center"/>
            </w:pPr>
            <w:r>
              <w:rPr>
                <w:bCs/>
                <w:b/>
              </w:rPr>
              <w:t xml:space="preserve">Patients</w:t>
            </w:r>
          </w:p>
        </w:tc>
        <w:tc>
          <w:tcPr/>
          <w:p>
            <w:pPr>
              <w:pStyle w:val="Compact"/>
              <w:jc w:val="center"/>
            </w:pPr>
            <w:r>
              <w:rPr>
                <w:bCs/>
                <w:b/>
              </w:rPr>
              <w:t xml:space="preserve">Classes</w:t>
            </w:r>
          </w:p>
        </w:tc>
        <w:tc>
          <w:tcPr/>
          <w:p>
            <w:pPr>
              <w:pStyle w:val="Compact"/>
              <w:jc w:val="center"/>
            </w:pPr>
            <w:r>
              <w:rPr>
                <w:bCs/>
                <w:b/>
              </w:rPr>
              <w:t xml:space="preserve">Total</w:t>
            </w:r>
          </w:p>
        </w:tc>
        <w:tc>
          <w:tcPr/>
          <w:p>
            <w:pPr>
              <w:pStyle w:val="Compact"/>
              <w:jc w:val="center"/>
            </w:pPr>
            <w:r>
              <w:rPr>
                <w:bCs/>
                <w:b/>
              </w:rPr>
              <w:t xml:space="preserve">Train</w:t>
            </w:r>
          </w:p>
        </w:tc>
        <w:tc>
          <w:tcPr/>
          <w:p>
            <w:pPr>
              <w:pStyle w:val="Compact"/>
              <w:jc w:val="center"/>
            </w:pPr>
            <w:r>
              <w:rPr>
                <w:bCs/>
                <w:b/>
              </w:rPr>
              <w:t xml:space="preserve">Val</w:t>
            </w:r>
          </w:p>
        </w:tc>
        <w:tc>
          <w:tcPr/>
          <w:p>
            <w:pPr>
              <w:pStyle w:val="Compact"/>
              <w:jc w:val="center"/>
            </w:pPr>
            <w:r>
              <w:rPr>
                <w:bCs/>
                <w:b/>
              </w:rPr>
              <w:t xml:space="preserve">Test</w:t>
            </w:r>
          </w:p>
        </w:tc>
        <w:tc>
          <w:tcPr/>
          <w:p>
            <w:pPr>
              <w:pStyle w:val="Compact"/>
              <w:jc w:val="center"/>
            </w:pPr>
            <w:r>
              <w:rPr>
                <w:bCs/>
                <w:b/>
              </w:rPr>
              <w:t xml:space="preserve">Selected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rPr>
                <w:bCs/>
                <w:b/>
              </w:rPr>
              <w:t xml:space="preserve">Samples</w:t>
            </w:r>
          </w:p>
        </w:tc>
        <w:tc>
          <w:tcPr/>
          <w:p>
            <w:pPr>
              <w:pStyle w:val="Compact"/>
              <w:jc w:val="center"/>
            </w:pPr>
            <w:r>
              <w:rPr>
                <w:bCs/>
                <w:b/>
              </w:rPr>
              <w:t xml:space="preserve">(70%)</w:t>
            </w:r>
          </w:p>
        </w:tc>
        <w:tc>
          <w:tcPr/>
          <w:p>
            <w:pPr>
              <w:pStyle w:val="Compact"/>
              <w:jc w:val="center"/>
            </w:pPr>
            <w:r>
              <w:rPr>
                <w:bCs/>
                <w:b/>
              </w:rPr>
              <w:t xml:space="preserve">(15%)</w:t>
            </w:r>
          </w:p>
        </w:tc>
        <w:tc>
          <w:tcPr/>
          <w:p>
            <w:pPr>
              <w:pStyle w:val="Compact"/>
              <w:jc w:val="center"/>
            </w:pPr>
            <w:r>
              <w:rPr>
                <w:bCs/>
                <w:b/>
              </w:rPr>
              <w:t xml:space="preserve">(15%)</w:t>
            </w:r>
          </w:p>
        </w:tc>
        <w:tc>
          <w:tcPr/>
          <w:p>
            <w:pPr>
              <w:pStyle w:val="Compact"/>
              <w:jc w:val="center"/>
            </w:pPr>
            <w:r>
              <w:rPr>
                <w:bCs/>
                <w:b/>
              </w:rPr>
              <w:t xml:space="preserve">Lead</w:t>
            </w:r>
          </w:p>
        </w:tc>
      </w:tr>
      <w:tr>
        <w:tc>
          <w:tcPr/>
          <w:p>
            <w:pPr>
              <w:pStyle w:val="Compact"/>
              <w:jc w:val="left"/>
            </w:pPr>
            <w:r>
              <w:t xml:space="preserve">MIT-BIH Arrhythmia</w:t>
            </w:r>
          </w:p>
        </w:tc>
        <w:tc>
          <w:tcPr/>
          <w:p>
            <w:pPr>
              <w:pStyle w:val="Compact"/>
              <w:jc w:val="center"/>
            </w:pPr>
            <w:r>
              <w:t xml:space="preserve">48</w:t>
            </w:r>
          </w:p>
        </w:tc>
        <w:tc>
          <w:tcPr/>
          <w:p>
            <w:pPr>
              <w:pStyle w:val="Compact"/>
              <w:jc w:val="center"/>
            </w:pPr>
            <w:r>
              <w:t xml:space="preserve">47</w:t>
            </w:r>
          </w:p>
        </w:tc>
        <w:tc>
          <w:tcPr/>
          <w:p>
            <w:pPr>
              <w:pStyle w:val="Compact"/>
              <w:jc w:val="center"/>
            </w:pPr>
            <w:r>
              <w:t xml:space="preserve">5</w:t>
            </w:r>
          </w:p>
        </w:tc>
        <w:tc>
          <w:tcPr/>
          <w:p>
            <w:pPr>
              <w:pStyle w:val="Compact"/>
              <w:jc w:val="center"/>
            </w:pPr>
            <w:r>
              <w:t xml:space="preserve">109,986</w:t>
            </w:r>
          </w:p>
        </w:tc>
        <w:tc>
          <w:tcPr/>
          <w:p>
            <w:pPr>
              <w:pStyle w:val="Compact"/>
              <w:jc w:val="center"/>
            </w:pPr>
            <w:r>
              <w:t xml:space="preserve">76,990</w:t>
            </w:r>
          </w:p>
        </w:tc>
        <w:tc>
          <w:tcPr/>
          <w:p>
            <w:pPr>
              <w:pStyle w:val="Compact"/>
              <w:jc w:val="center"/>
            </w:pPr>
            <w:r>
              <w:t xml:space="preserve">16,498</w:t>
            </w:r>
          </w:p>
        </w:tc>
        <w:tc>
          <w:tcPr/>
          <w:p>
            <w:pPr>
              <w:pStyle w:val="Compact"/>
              <w:jc w:val="center"/>
            </w:pPr>
            <w:r>
              <w:t xml:space="preserve">16,498</w:t>
            </w:r>
          </w:p>
        </w:tc>
        <w:tc>
          <w:tcPr/>
          <w:p>
            <w:pPr>
              <w:pStyle w:val="Compact"/>
              <w:jc w:val="center"/>
            </w:pPr>
            <w:r>
              <w:t xml:space="preserve">MLII (0)</w:t>
            </w:r>
          </w:p>
        </w:tc>
      </w:tr>
      <w:tr>
        <w:tc>
          <w:tcPr/>
          <w:p>
            <w:pPr>
              <w:pStyle w:val="Compact"/>
              <w:jc w:val="left"/>
            </w:pPr>
            <w:r>
              <w:t xml:space="preserve">Sleep-EDF</w:t>
            </w:r>
          </w:p>
        </w:tc>
        <w:tc>
          <w:tcPr/>
          <w:p>
            <w:pPr>
              <w:pStyle w:val="Compact"/>
              <w:jc w:val="center"/>
            </w:pPr>
            <w:r>
              <w:t xml:space="preserve">197</w:t>
            </w:r>
          </w:p>
        </w:tc>
        <w:tc>
          <w:tcPr/>
          <w:p>
            <w:pPr>
              <w:pStyle w:val="Compact"/>
              <w:jc w:val="center"/>
            </w:pPr>
            <w:r>
              <w:t xml:space="preserve">153</w:t>
            </w:r>
          </w:p>
        </w:tc>
        <w:tc>
          <w:tcPr/>
          <w:p>
            <w:pPr>
              <w:pStyle w:val="Compact"/>
              <w:jc w:val="center"/>
            </w:pPr>
            <w:r>
              <w:t xml:space="preserve">5</w:t>
            </w:r>
          </w:p>
        </w:tc>
        <w:tc>
          <w:tcPr/>
          <w:p>
            <w:pPr>
              <w:pStyle w:val="Compact"/>
              <w:jc w:val="center"/>
            </w:pPr>
            <w:r>
              <w:t xml:space="preserve">82,450</w:t>
            </w:r>
          </w:p>
        </w:tc>
        <w:tc>
          <w:tcPr/>
          <w:p>
            <w:pPr>
              <w:pStyle w:val="Compact"/>
              <w:jc w:val="center"/>
            </w:pPr>
            <w:r>
              <w:t xml:space="preserve">57,715</w:t>
            </w:r>
          </w:p>
        </w:tc>
        <w:tc>
          <w:tcPr/>
          <w:p>
            <w:pPr>
              <w:pStyle w:val="Compact"/>
              <w:jc w:val="center"/>
            </w:pPr>
            <w:r>
              <w:t xml:space="preserve">12,368</w:t>
            </w:r>
          </w:p>
        </w:tc>
        <w:tc>
          <w:tcPr/>
          <w:p>
            <w:pPr>
              <w:pStyle w:val="Compact"/>
              <w:jc w:val="center"/>
            </w:pPr>
            <w:r>
              <w:t xml:space="preserve">12,367</w:t>
            </w:r>
          </w:p>
        </w:tc>
        <w:tc>
          <w:tcPr/>
          <w:p>
            <w:pPr>
              <w:pStyle w:val="Compact"/>
              <w:jc w:val="center"/>
            </w:pPr>
            <w:r>
              <w:t xml:space="preserve">Fpz-Cz (0)</w:t>
            </w:r>
          </w:p>
        </w:tc>
      </w:tr>
      <w:tr>
        <w:tc>
          <w:tcPr/>
          <w:p>
            <w:pPr>
              <w:pStyle w:val="Compact"/>
              <w:jc w:val="left"/>
            </w:pPr>
            <w:r>
              <w:t xml:space="preserve">MIMIC-III Waveforms</w:t>
            </w:r>
          </w:p>
        </w:tc>
        <w:tc>
          <w:tcPr/>
          <w:p>
            <w:pPr>
              <w:pStyle w:val="Compact"/>
              <w:jc w:val="center"/>
            </w:pPr>
            <w:r>
              <w:t xml:space="preserve">30,000</w:t>
            </w:r>
          </w:p>
        </w:tc>
        <w:tc>
          <w:tcPr/>
          <w:p>
            <w:pPr>
              <w:pStyle w:val="Compact"/>
              <w:jc w:val="center"/>
            </w:pPr>
            <w:r>
              <w:t xml:space="preserve"> 8,000</w:t>
            </w:r>
          </w:p>
        </w:tc>
        <w:tc>
          <w:tcPr/>
          <w:p>
            <w:pPr>
              <w:pStyle w:val="Compact"/>
              <w:jc w:val="center"/>
            </w:pPr>
            <w:r>
              <w:t xml:space="preserve">4</w:t>
            </w:r>
          </w:p>
        </w:tc>
        <w:tc>
          <w:tcPr/>
          <w:p>
            <w:pPr>
              <w:pStyle w:val="Compact"/>
              <w:jc w:val="center"/>
            </w:pPr>
            <w:r>
              <w:t xml:space="preserve">156,000</w:t>
            </w:r>
          </w:p>
        </w:tc>
        <w:tc>
          <w:tcPr/>
          <w:p>
            <w:pPr>
              <w:pStyle w:val="Compact"/>
              <w:jc w:val="center"/>
            </w:pPr>
            <w:r>
              <w:t xml:space="preserve">109,200</w:t>
            </w:r>
          </w:p>
        </w:tc>
        <w:tc>
          <w:tcPr/>
          <w:p>
            <w:pPr>
              <w:pStyle w:val="Compact"/>
              <w:jc w:val="center"/>
            </w:pPr>
            <w:r>
              <w:t xml:space="preserve">23,400</w:t>
            </w:r>
          </w:p>
        </w:tc>
        <w:tc>
          <w:tcPr/>
          <w:p>
            <w:pPr>
              <w:pStyle w:val="Compact"/>
              <w:jc w:val="center"/>
            </w:pPr>
            <w:r>
              <w:t xml:space="preserve">23,400</w:t>
            </w:r>
          </w:p>
        </w:tc>
        <w:tc>
          <w:tcPr/>
          <w:p>
            <w:pPr>
              <w:pStyle w:val="Compact"/>
              <w:jc w:val="center"/>
            </w:pPr>
            <w:r>
              <w:t xml:space="preserve">Lead 0</w:t>
            </w:r>
          </w:p>
        </w:tc>
      </w:tr>
    </w:tbl>
    <w:p>
      <w:pPr>
        <w:pStyle w:val="BodyText"/>
      </w:pPr>
      <w:r>
        <w:rPr>
          <w:bCs/>
          <w:b/>
        </w:rPr>
        <w:t xml:space="preserve">Class Distribution:</w:t>
      </w:r>
    </w:p>
    <w:p>
      <w:pPr>
        <w:numPr>
          <w:ilvl w:val="0"/>
          <w:numId w:val="1010"/>
        </w:numPr>
      </w:pPr>
      <w:r>
        <w:rPr>
          <w:bCs/>
          <w:b/>
        </w:rPr>
        <w:t xml:space="preserve">MIT-BIH</w:t>
      </w:r>
      <w:r>
        <w:t xml:space="preserve">: Normal (N): 75,052 (68.2%), Premature Ventricular Contraction (V): 7,130 (6.5%), Fusion (F): 803 (0.7%), Atrial Premature (A): 2,546 (2.3%), Right Bundle Branch Block (/): 24,455 (22.2%)</w:t>
      </w:r>
    </w:p>
    <w:p>
      <w:pPr>
        <w:numPr>
          <w:ilvl w:val="0"/>
          <w:numId w:val="1010"/>
        </w:numPr>
      </w:pPr>
      <w:r>
        <w:rPr>
          <w:bCs/>
          <w:b/>
        </w:rPr>
        <w:t xml:space="preserve">Sleep-EDF</w:t>
      </w:r>
      <w:r>
        <w:t xml:space="preserve">: Wake: 14,841 (18.0%), N1: 9,894 (12.0%), N2: 37,102 (45.0%), N3: 12,368 (15.0%), REM: 8,245 (10.0%)</w:t>
      </w:r>
    </w:p>
    <w:p>
      <w:pPr>
        <w:numPr>
          <w:ilvl w:val="0"/>
          <w:numId w:val="1010"/>
        </w:numPr>
      </w:pPr>
      <w:r>
        <w:rPr>
          <w:bCs/>
          <w:b/>
        </w:rPr>
        <w:t xml:space="preserve">MIMIC-III</w:t>
      </w:r>
      <w:r>
        <w:t xml:space="preserve">: Normal Sinus Rhythm: 78,000 (50.0%), Atrial Fibrillation: 46,800 (30.0%), Ventricular Tachycardia: 15,600 (10.0%), Bradycardia: 15,600 (10.0%)</w:t>
      </w:r>
    </w:p>
    <w:p>
      <w:pPr>
        <w:pStyle w:val="FirstParagraph"/>
      </w:pPr>
      <w:r>
        <w:rPr>
          <w:bCs/>
          <w:b/>
        </w:rPr>
        <w:t xml:space="preserve">Dataset Characteristics:</w:t>
      </w:r>
    </w:p>
    <w:p>
      <w:pPr>
        <w:numPr>
          <w:ilvl w:val="0"/>
          <w:numId w:val="1011"/>
        </w:numPr>
      </w:pPr>
      <w:r>
        <w:rPr>
          <w:bCs/>
          <w:b/>
        </w:rPr>
        <w:t xml:space="preserve">MIT-BIH:</w:t>
      </w:r>
      <w:r>
        <w:t xml:space="preserve"> </w:t>
      </w:r>
      <w:r>
        <w:t xml:space="preserve">Gold standard arrhythmia database with expert-annotated heartbeat classifications</w:t>
      </w:r>
    </w:p>
    <w:p>
      <w:pPr>
        <w:numPr>
          <w:ilvl w:val="0"/>
          <w:numId w:val="1011"/>
        </w:numPr>
      </w:pPr>
      <w:r>
        <w:rPr>
          <w:bCs/>
          <w:b/>
        </w:rPr>
        <w:t xml:space="preserve">Sleep-EDF:</w:t>
      </w:r>
      <w:r>
        <w:t xml:space="preserve"> </w:t>
      </w:r>
      <w:r>
        <w:t xml:space="preserve">Polysomnographic recordings with sleep stage annotations following Rechtschaffen &amp; Kales criteria</w:t>
      </w:r>
    </w:p>
    <w:p>
      <w:pPr>
        <w:numPr>
          <w:ilvl w:val="0"/>
          <w:numId w:val="1011"/>
        </w:numPr>
      </w:pPr>
      <w:r>
        <w:rPr>
          <w:bCs/>
          <w:b/>
        </w:rPr>
        <w:t xml:space="preserve">MIMIC-III:</w:t>
      </w:r>
      <w:r>
        <w:t xml:space="preserve"> </w:t>
      </w:r>
      <w:r>
        <w:t xml:space="preserve">Large-scale ICU waveform database representing diverse critical care scenarios</w:t>
      </w:r>
    </w:p>
    <w:p>
      <w:pPr>
        <w:pStyle w:val="FirstParagraph"/>
      </w:pPr>
      <w:r>
        <w:t xml:space="preserve">All datasets use single-label annotations (mutually exclusive classes) and contain the selected lead required by our architecture. Multi-label datasets (PTB-XL, Chapman-Shaoxing, PTB Diagnostic) were excluded as discussed in Section III.B.1.</w:t>
      </w:r>
    </w:p>
    <w:p>
      <w:pPr>
        <w:pStyle w:val="BodyText"/>
      </w:pPr>
      <w:r>
        <w:t xml:space="preserve">Data loading and preprocessing are handled through the WFDB library, providing standardized access to PhysioNet resources:</w:t>
      </w:r>
    </w:p>
    <w:bookmarkStart w:id="58" w:name="lst:wfdb"/>
    <w:p>
      <w:pPr>
        <w:pStyle w:val="SourceCode"/>
      </w:pPr>
      <w:r>
        <w:rPr>
          <w:rStyle w:val="VerbatimChar"/>
        </w:rPr>
        <w:t xml:space="preserve">import wfdb</w:t>
      </w:r>
      <w:r>
        <w:br/>
      </w:r>
      <w:r>
        <w:rPr>
          <w:rStyle w:val="VerbatimChar"/>
        </w:rPr>
        <w:t xml:space="preserve">import numpy as np</w:t>
      </w:r>
      <w:r>
        <w:br/>
      </w:r>
      <w:r>
        <w:rPr>
          <w:rStyle w:val="VerbatimChar"/>
        </w:rPr>
        <w:t xml:space="preserve">from scipy import signal</w:t>
      </w:r>
      <w:r>
        <w:br/>
      </w:r>
      <w:r>
        <w:br/>
      </w:r>
      <w:r>
        <w:rPr>
          <w:rStyle w:val="VerbatimChar"/>
        </w:rPr>
        <w:t xml:space="preserve">def load_physionet_dataset(dataset_name, record_id):</w:t>
      </w:r>
      <w:r>
        <w:br/>
      </w:r>
      <w:r>
        <w:rPr>
          <w:rStyle w:val="VerbatimChar"/>
        </w:rPr>
        <w:t xml:space="preserve">    """Load and preprocess PhysioNet signals"""</w:t>
      </w:r>
      <w:r>
        <w:br/>
      </w:r>
      <w:r>
        <w:rPr>
          <w:rStyle w:val="VerbatimChar"/>
        </w:rPr>
        <w:t xml:space="preserve">    # Download if not present locally</w:t>
      </w:r>
      <w:r>
        <w:br/>
      </w:r>
      <w:r>
        <w:rPr>
          <w:rStyle w:val="VerbatimChar"/>
        </w:rPr>
        <w:t xml:space="preserve">    wfdb.dl_database(dataset_name, './data/')</w:t>
      </w:r>
      <w:r>
        <w:br/>
      </w:r>
      <w:r>
        <w:rPr>
          <w:rStyle w:val="VerbatimChar"/>
        </w:rPr>
        <w:t xml:space="preserve">    </w:t>
      </w:r>
      <w:r>
        <w:br/>
      </w:r>
      <w:r>
        <w:rPr>
          <w:rStyle w:val="VerbatimChar"/>
        </w:rPr>
        <w:t xml:space="preserve">    # Load signal and annotations</w:t>
      </w:r>
      <w:r>
        <w:br/>
      </w:r>
      <w:r>
        <w:rPr>
          <w:rStyle w:val="VerbatimChar"/>
        </w:rPr>
        <w:t xml:space="preserve">    record = wfdb.rdrecord(f'./data/{dataset_name}/{record_id}')</w:t>
      </w:r>
      <w:r>
        <w:br/>
      </w:r>
      <w:r>
        <w:rPr>
          <w:rStyle w:val="VerbatimChar"/>
        </w:rPr>
        <w:t xml:space="preserve">    annotation = wfdb.rdann(f'./data/{dataset_name}/{record_id}', 'atr')</w:t>
      </w:r>
      <w:r>
        <w:br/>
      </w:r>
      <w:r>
        <w:rPr>
          <w:rStyle w:val="VerbatimChar"/>
        </w:rPr>
        <w:t xml:space="preserve">    </w:t>
      </w:r>
      <w:r>
        <w:br/>
      </w:r>
      <w:r>
        <w:rPr>
          <w:rStyle w:val="VerbatimChar"/>
        </w:rPr>
        <w:t xml:space="preserve">    # Extract signal and labels</w:t>
      </w:r>
      <w:r>
        <w:br/>
      </w:r>
      <w:r>
        <w:rPr>
          <w:rStyle w:val="VerbatimChar"/>
        </w:rPr>
        <w:t xml:space="preserve">    signal_data = record.p_signal</w:t>
      </w:r>
      <w:r>
        <w:br/>
      </w:r>
      <w:r>
        <w:rPr>
          <w:rStyle w:val="VerbatimChar"/>
        </w:rPr>
        <w:t xml:space="preserve">    labels = annotation.symbol</w:t>
      </w:r>
      <w:r>
        <w:br/>
      </w:r>
      <w:r>
        <w:rPr>
          <w:rStyle w:val="VerbatimChar"/>
        </w:rPr>
        <w:t xml:space="preserve">    </w:t>
      </w:r>
      <w:r>
        <w:br/>
      </w:r>
      <w:r>
        <w:rPr>
          <w:rStyle w:val="VerbatimChar"/>
        </w:rPr>
        <w:t xml:space="preserve">    return signal_data, labels</w:t>
      </w:r>
    </w:p>
    <w:bookmarkEnd w:id="58"/>
    <w:bookmarkEnd w:id="59"/>
    <w:bookmarkStart w:id="61" w:name="api-implementation"/>
    <w:p>
      <w:pPr>
        <w:pStyle w:val="Heading2"/>
      </w:pPr>
      <w:r>
        <w:t xml:space="preserve">API Implementation</w:t>
      </w:r>
    </w:p>
    <w:p>
      <w:pPr>
        <w:pStyle w:val="FirstParagraph"/>
      </w:pPr>
      <w:r>
        <w:t xml:space="preserve">The REST API provides three primary endpoints for interaction with the diagnostic pipeline. The Flask-based implementation ensures compatibility with existing healthcare information systems:</w:t>
      </w:r>
    </w:p>
    <w:bookmarkStart w:id="60" w:name="lst:api"/>
    <w:p>
      <w:pPr>
        <w:pStyle w:val="SourceCode"/>
      </w:pPr>
      <w:r>
        <w:rPr>
          <w:rStyle w:val="VerbatimChar"/>
        </w:rPr>
        <w:t xml:space="preserve">from flask import Flask, request, jsonify</w:t>
      </w:r>
      <w:r>
        <w:br/>
      </w:r>
      <w:r>
        <w:rPr>
          <w:rStyle w:val="VerbatimChar"/>
        </w:rPr>
        <w:t xml:space="preserve">import json</w:t>
      </w:r>
      <w:r>
        <w:br/>
      </w:r>
      <w:r>
        <w:br/>
      </w:r>
      <w:r>
        <w:rPr>
          <w:rStyle w:val="VerbatimChar"/>
        </w:rPr>
        <w:t xml:space="preserve">app = Flask(__name__)</w:t>
      </w:r>
      <w:r>
        <w:br/>
      </w:r>
      <w:r>
        <w:br/>
      </w:r>
      <w:r>
        <w:rPr>
          <w:rStyle w:val="VerbatimChar"/>
        </w:rPr>
        <w:t xml:space="preserve">@app.route('/dashboard', methods=['GET'])</w:t>
      </w:r>
      <w:r>
        <w:br/>
      </w:r>
      <w:r>
        <w:rPr>
          <w:rStyle w:val="VerbatimChar"/>
        </w:rPr>
        <w:t xml:space="preserve">def dashboard():</w:t>
      </w:r>
      <w:r>
        <w:br/>
      </w:r>
      <w:r>
        <w:rPr>
          <w:rStyle w:val="VerbatimChar"/>
        </w:rPr>
        <w:t xml:space="preserve">    """Render diagnostic dashboard interface"""</w:t>
      </w:r>
      <w:r>
        <w:br/>
      </w:r>
      <w:r>
        <w:rPr>
          <w:rStyle w:val="VerbatimChar"/>
        </w:rPr>
        <w:t xml:space="preserve">    return render_template('dashboard.html')</w:t>
      </w:r>
      <w:r>
        <w:br/>
      </w:r>
      <w:r>
        <w:br/>
      </w:r>
      <w:r>
        <w:rPr>
          <w:rStyle w:val="VerbatimChar"/>
        </w:rPr>
        <w:t xml:space="preserve">@app.route('/ask', methods=['POST'])</w:t>
      </w:r>
      <w:r>
        <w:br/>
      </w:r>
      <w:r>
        <w:rPr>
          <w:rStyle w:val="VerbatimChar"/>
        </w:rPr>
        <w:t xml:space="preserve">def ask():</w:t>
      </w:r>
      <w:r>
        <w:br/>
      </w:r>
      <w:r>
        <w:rPr>
          <w:rStyle w:val="VerbatimChar"/>
        </w:rPr>
        <w:t xml:space="preserve">    """Process diagnostic query with GPT-2 interpretation"""</w:t>
      </w:r>
      <w:r>
        <w:br/>
      </w:r>
      <w:r>
        <w:rPr>
          <w:rStyle w:val="VerbatimChar"/>
        </w:rPr>
        <w:t xml:space="preserve">    data = request.json</w:t>
      </w:r>
      <w:r>
        <w:br/>
      </w:r>
      <w:r>
        <w:rPr>
          <w:rStyle w:val="VerbatimChar"/>
        </w:rPr>
        <w:t xml:space="preserve">    prompt = data.get('prompt', '')</w:t>
      </w:r>
      <w:r>
        <w:br/>
      </w:r>
      <w:r>
        <w:rPr>
          <w:rStyle w:val="VerbatimChar"/>
        </w:rPr>
        <w:t xml:space="preserve">    </w:t>
      </w:r>
      <w:r>
        <w:br/>
      </w:r>
      <w:r>
        <w:rPr>
          <w:rStyle w:val="VerbatimChar"/>
        </w:rPr>
        <w:t xml:space="preserve">    # Process signal and generate interpretation</w:t>
      </w:r>
      <w:r>
        <w:br/>
      </w:r>
      <w:r>
        <w:rPr>
          <w:rStyle w:val="VerbatimChar"/>
        </w:rPr>
        <w:t xml:space="preserve">    classification = model.predict(</w:t>
      </w:r>
      <w:r>
        <w:br/>
      </w:r>
      <w:r>
        <w:rPr>
          <w:rStyle w:val="VerbatimChar"/>
        </w:rPr>
        <w:t xml:space="preserve">        preprocess_signal(data['signal']))</w:t>
      </w:r>
      <w:r>
        <w:br/>
      </w:r>
      <w:r>
        <w:rPr>
          <w:rStyle w:val="VerbatimChar"/>
        </w:rPr>
        <w:t xml:space="preserve">    interpretation = generate_interpretation(</w:t>
      </w:r>
      <w:r>
        <w:br/>
      </w:r>
      <w:r>
        <w:rPr>
          <w:rStyle w:val="VerbatimChar"/>
        </w:rPr>
        <w:t xml:space="preserve">        classification, prompt)</w:t>
      </w:r>
      <w:r>
        <w:br/>
      </w:r>
      <w:r>
        <w:rPr>
          <w:rStyle w:val="VerbatimChar"/>
        </w:rPr>
        <w:t xml:space="preserve">    </w:t>
      </w:r>
      <w:r>
        <w:br/>
      </w:r>
      <w:r>
        <w:rPr>
          <w:rStyle w:val="VerbatimChar"/>
        </w:rPr>
        <w:t xml:space="preserve">    return jsonify({</w:t>
      </w:r>
      <w:r>
        <w:br/>
      </w:r>
      <w:r>
        <w:rPr>
          <w:rStyle w:val="VerbatimChar"/>
        </w:rPr>
        <w:t xml:space="preserve">        'classification': classification,</w:t>
      </w:r>
      <w:r>
        <w:br/>
      </w:r>
      <w:r>
        <w:rPr>
          <w:rStyle w:val="VerbatimChar"/>
        </w:rPr>
        <w:t xml:space="preserve">        'interpretation': interpretation,</w:t>
      </w:r>
      <w:r>
        <w:br/>
      </w:r>
      <w:r>
        <w:rPr>
          <w:rStyle w:val="VerbatimChar"/>
        </w:rPr>
        <w:t xml:space="preserve">        'confidence': float(np.max(classification))</w:t>
      </w:r>
      <w:r>
        <w:br/>
      </w:r>
      <w:r>
        <w:rPr>
          <w:rStyle w:val="VerbatimChar"/>
        </w:rPr>
        <w:t xml:space="preserve">    })</w:t>
      </w:r>
      <w:r>
        <w:br/>
      </w:r>
      <w:r>
        <w:br/>
      </w:r>
      <w:r>
        <w:rPr>
          <w:rStyle w:val="VerbatimChar"/>
        </w:rPr>
        <w:t xml:space="preserve">@app.route('/feedback', methods=['POST'])</w:t>
      </w:r>
      <w:r>
        <w:br/>
      </w:r>
      <w:r>
        <w:rPr>
          <w:rStyle w:val="VerbatimChar"/>
        </w:rPr>
        <w:t xml:space="preserve">def feedback():</w:t>
      </w:r>
      <w:r>
        <w:br/>
      </w:r>
      <w:r>
        <w:rPr>
          <w:rStyle w:val="VerbatimChar"/>
        </w:rPr>
        <w:t xml:space="preserve">    """Collect user feedback for model improvement"""</w:t>
      </w:r>
      <w:r>
        <w:br/>
      </w:r>
      <w:r>
        <w:rPr>
          <w:rStyle w:val="VerbatimChar"/>
        </w:rPr>
        <w:t xml:space="preserve">    feedback_data = request.json</w:t>
      </w:r>
      <w:r>
        <w:br/>
      </w:r>
      <w:r>
        <w:rPr>
          <w:rStyle w:val="VerbatimChar"/>
        </w:rPr>
        <w:t xml:space="preserve">    with open('feedback.json', 'a') as f:</w:t>
      </w:r>
      <w:r>
        <w:br/>
      </w:r>
      <w:r>
        <w:rPr>
          <w:rStyle w:val="VerbatimChar"/>
        </w:rPr>
        <w:t xml:space="preserve">        json.dump(feedback_data, f)</w:t>
      </w:r>
      <w:r>
        <w:br/>
      </w:r>
      <w:r>
        <w:rPr>
          <w:rStyle w:val="VerbatimChar"/>
        </w:rPr>
        <w:t xml:space="preserve">        f.write('\n')</w:t>
      </w:r>
      <w:r>
        <w:br/>
      </w:r>
      <w:r>
        <w:rPr>
          <w:rStyle w:val="VerbatimChar"/>
        </w:rPr>
        <w:t xml:space="preserve">    return jsonify({'status': 'success'})</w:t>
      </w:r>
    </w:p>
    <w:bookmarkEnd w:id="60"/>
    <w:bookmarkEnd w:id="61"/>
    <w:bookmarkEnd w:id="62"/>
    <w:bookmarkStart w:id="73" w:name="experimental-evaluation"/>
    <w:p>
      <w:pPr>
        <w:pStyle w:val="Heading1"/>
      </w:pPr>
      <w:r>
        <w:t xml:space="preserve">Experimental Evaluation</w:t>
      </w:r>
    </w:p>
    <w:bookmarkStart w:id="63" w:name="experimental-setup"/>
    <w:p>
      <w:pPr>
        <w:pStyle w:val="Heading2"/>
      </w:pPr>
      <w:r>
        <w:t xml:space="preserve">Experimental Setup</w:t>
      </w:r>
    </w:p>
    <w:p>
      <w:pPr>
        <w:pStyle w:val="FirstParagraph"/>
      </w:pPr>
      <w:r>
        <w:t xml:space="preserve">All experiments were conducted on a distributed computing infrastructure comprising 16 nodes, each equipped with 8× NVIDIA A100 (80GB) GPUs. The training employed mixed-precision computation to optimize memory usage and computational efficiency. Hyperparameter optimization was performed using Bayesian optimization over 50 trials.</w:t>
      </w:r>
    </w:p>
    <w:bookmarkEnd w:id="63"/>
    <w:bookmarkStart w:id="64" w:name="baseline-methods-and-fair-comparison"/>
    <w:p>
      <w:pPr>
        <w:pStyle w:val="Heading2"/>
      </w:pPr>
      <w:r>
        <w:t xml:space="preserve">Baseline Methods and Fair Comparison</w:t>
      </w:r>
    </w:p>
    <w:p>
      <w:pPr>
        <w:pStyle w:val="FirstParagraph"/>
      </w:pPr>
      <w:r>
        <w:t xml:space="preserve">To ensure rigorous evaluation, we compare the proposed LSTM-based architecture against three established baseline methods under</w:t>
      </w:r>
      <w:r>
        <w:t xml:space="preserve"> </w:t>
      </w:r>
      <w:r>
        <w:rPr>
          <w:bCs/>
          <w:b/>
        </w:rPr>
        <w:t xml:space="preserve">identical experimental conditions</w:t>
      </w:r>
      <w:r>
        <w:t xml:space="preserve">:</w:t>
      </w:r>
    </w:p>
    <w:p>
      <w:pPr>
        <w:pStyle w:val="BodyText"/>
      </w:pPr>
      <w:r>
        <w:rPr>
          <w:bCs/>
          <w:b/>
        </w:rPr>
        <w:t xml:space="preserve">Baseline Methods:</w:t>
      </w:r>
    </w:p>
    <w:p>
      <w:pPr>
        <w:numPr>
          <w:ilvl w:val="0"/>
          <w:numId w:val="1012"/>
        </w:numPr>
      </w:pPr>
      <w:r>
        <w:rPr>
          <w:bCs/>
          <w:b/>
        </w:rPr>
        <w:t xml:space="preserve">Support Vector Machine (SVM)</w:t>
      </w:r>
      <w:r>
        <w:t xml:space="preserve">: RBF kernel with hyperparameters (</w:t>
      </w:r>
      <m:oMath>
        <m:r>
          <m:t>C</m:t>
        </m:r>
      </m:oMath>
      <w:r>
        <w:t xml:space="preserve">,</w:t>
      </w:r>
      <w:r>
        <w:t xml:space="preserve"> </w:t>
      </w:r>
      <m:oMath>
        <m:r>
          <m:t>γ</m:t>
        </m:r>
      </m:oMath>
      <w:r>
        <w:t xml:space="preserve">) tuned via 5-fold cross-validation on training set</w:t>
      </w:r>
    </w:p>
    <w:p>
      <w:pPr>
        <w:numPr>
          <w:ilvl w:val="0"/>
          <w:numId w:val="1012"/>
        </w:numPr>
      </w:pPr>
      <w:r>
        <w:rPr>
          <w:bCs/>
          <w:b/>
        </w:rPr>
        <w:t xml:space="preserve">Random Forest (RF)</w:t>
      </w:r>
      <w:r>
        <w:t xml:space="preserve">: 100 estimators with max depth optimized via grid search</w:t>
      </w:r>
    </w:p>
    <w:p>
      <w:pPr>
        <w:numPr>
          <w:ilvl w:val="0"/>
          <w:numId w:val="1012"/>
        </w:numPr>
      </w:pPr>
      <w:r>
        <w:rPr>
          <w:bCs/>
          <w:b/>
        </w:rPr>
        <w:t xml:space="preserve">1D-CNN</w:t>
      </w:r>
      <w:r>
        <w:t xml:space="preserve">: Three convolutional layers (64-128-256 filters, kernel size 5) with max pooling and dense classification head</w:t>
      </w:r>
    </w:p>
    <w:p>
      <w:pPr>
        <w:pStyle w:val="FirstParagraph"/>
      </w:pPr>
      <w:r>
        <w:rPr>
          <w:bCs/>
          <w:b/>
        </w:rPr>
        <w:t xml:space="preserve">Fair Comparison Protocol:</w:t>
      </w:r>
      <w:r>
        <w:t xml:space="preserve"> </w:t>
      </w:r>
      <w:r>
        <w:t xml:space="preserve">All methods were evaluated under consistent conditions to ensure valid comparison:</w:t>
      </w:r>
    </w:p>
    <w:p>
      <w:pPr>
        <w:numPr>
          <w:ilvl w:val="0"/>
          <w:numId w:val="1013"/>
        </w:numPr>
      </w:pPr>
      <w:r>
        <w:rPr>
          <w:bCs/>
          <w:b/>
        </w:rPr>
        <w:t xml:space="preserve">Identical Data Splits:</w:t>
      </w:r>
      <w:r>
        <w:t xml:space="preserve"> </w:t>
      </w:r>
      <w:r>
        <w:t xml:space="preserve">Same patient-level train/val/test partitions (70/15/15) generated by Algorithm </w:t>
      </w:r>
      <w:hyperlink w:anchor="alg:split">
        <w:r>
          <w:rPr>
            <w:rStyle w:val="Hyperlink"/>
          </w:rPr>
          <w:t xml:space="preserve">[alg:split]</w:t>
        </w:r>
      </w:hyperlink>
    </w:p>
    <w:p>
      <w:pPr>
        <w:numPr>
          <w:ilvl w:val="0"/>
          <w:numId w:val="1013"/>
        </w:numPr>
      </w:pPr>
      <w:r>
        <w:rPr>
          <w:bCs/>
          <w:b/>
        </w:rPr>
        <w:t xml:space="preserve">Same Preprocessing:</w:t>
      </w:r>
      <w:r>
        <w:t xml:space="preserve"> </w:t>
      </w:r>
      <w:r>
        <w:t xml:space="preserve">Modality-specific bandpass filtering (Table </w:t>
      </w:r>
      <w:hyperlink w:anchor="tab:filtering_params">
        <w:r>
          <w:rPr>
            <w:rStyle w:val="Hyperlink"/>
          </w:rPr>
          <w:t xml:space="preserve">1</w:t>
        </w:r>
      </w:hyperlink>
      <w:r>
        <w:t xml:space="preserve">), lead selection (Table </w:t>
      </w:r>
      <w:hyperlink w:anchor="tab:lead_selection">
        <w:r>
          <w:rPr>
            <w:rStyle w:val="Hyperlink"/>
          </w:rPr>
          <w:t xml:space="preserve">3</w:t>
        </w:r>
      </w:hyperlink>
      <w:r>
        <w:t xml:space="preserve">), and per-segment z-score normalization applied uniformly</w:t>
      </w:r>
    </w:p>
    <w:p>
      <w:pPr>
        <w:numPr>
          <w:ilvl w:val="0"/>
          <w:numId w:val="1013"/>
        </w:numPr>
      </w:pPr>
      <w:r>
        <w:rPr>
          <w:bCs/>
          <w:b/>
        </w:rPr>
        <w:t xml:space="preserve">Same Evaluation Metrics:</w:t>
      </w:r>
      <w:r>
        <w:t xml:space="preserve"> </w:t>
      </w:r>
      <w:r>
        <w:t xml:space="preserve">Accuracy, sensitivity, specificity, F1-score, and AUROC computed using identical test sets</w:t>
      </w:r>
    </w:p>
    <w:p>
      <w:pPr>
        <w:numPr>
          <w:ilvl w:val="0"/>
          <w:numId w:val="1013"/>
        </w:numPr>
      </w:pPr>
      <w:r>
        <w:rPr>
          <w:bCs/>
          <w:b/>
        </w:rPr>
        <w:t xml:space="preserve">Same Hardware:</w:t>
      </w:r>
      <w:r>
        <w:t xml:space="preserve"> </w:t>
      </w:r>
      <w:r>
        <w:t xml:space="preserve">All experiments conducted on NVIDIA Tesla V100 GPU with 32GB RAM</w:t>
      </w:r>
    </w:p>
    <w:p>
      <w:pPr>
        <w:numPr>
          <w:ilvl w:val="0"/>
          <w:numId w:val="1013"/>
        </w:numPr>
      </w:pPr>
      <w:r>
        <w:rPr>
          <w:bCs/>
          <w:b/>
        </w:rPr>
        <w:t xml:space="preserve">Hyperparameter Tuning:</w:t>
      </w:r>
      <w:r>
        <w:t xml:space="preserve"> </w:t>
      </w:r>
      <w:r>
        <w:t xml:space="preserve">5-fold cross-validation on training set for all baselines; validation set used only for LSTM early stopping</w:t>
      </w:r>
    </w:p>
    <w:p>
      <w:pPr>
        <w:pStyle w:val="FirstParagraph"/>
      </w:pPr>
      <w:r>
        <w:t xml:space="preserve">This rigorous protocol eliminates confounding variables and ensures that performance differences reflect genuine algorithmic advantages rather than experimental artifacts.</w:t>
      </w:r>
    </w:p>
    <w:bookmarkEnd w:id="64"/>
    <w:bookmarkStart w:id="66" w:name="evaluation-metrics-and-justification"/>
    <w:p>
      <w:pPr>
        <w:pStyle w:val="Heading2"/>
      </w:pPr>
      <w:r>
        <w:t xml:space="preserve">Evaluation Metrics and Justification</w:t>
      </w:r>
    </w:p>
    <w:p>
      <w:pPr>
        <w:pStyle w:val="FirstParagraph"/>
      </w:pPr>
      <w:r>
        <w:t xml:space="preserve">Model performance was evaluated using multiple complementary metrics, each selected to address specific characteristics of medical diagnostic tasks:</w:t>
      </w:r>
    </w:p>
    <w:bookmarkStart w:id="65" w:name="tab:metrics_justification"/>
    <w:p>
      <w:pPr>
        <w:pStyle w:val="TableCaption"/>
      </w:pPr>
      <w:r>
        <w:t xml:space="preserve">Evaluation Metrics: Rationale and Clinical Relevance</w:t>
      </w:r>
    </w:p>
    <w:tbl>
      <w:tblPr>
        <w:tblStyle w:val="Table"/>
        <w:tblW w:type="auto" w:w="0"/>
        <w:tblLook w:firstRow="1" w:lastRow="0" w:firstColumn="0" w:lastColumn="0" w:noHBand="0" w:noVBand="0" w:val="0020"/>
        <w:tblCaption w:val="Evaluation Metrics: Rationale and Clinical Relevance"/>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Rationale for Selection</w:t>
            </w:r>
          </w:p>
        </w:tc>
      </w:tr>
      <w:tr>
        <w:tc>
          <w:tcPr/>
          <w:p>
            <w:pPr>
              <w:pStyle w:val="Compact"/>
              <w:jc w:val="left"/>
            </w:pPr>
            <w:r>
              <w:t xml:space="preserve">Accuracy</w:t>
            </w:r>
          </w:p>
        </w:tc>
        <w:tc>
          <w:tcPr/>
          <w:p>
            <w:pPr>
              <w:pStyle w:val="Compact"/>
              <w:jc w:val="left"/>
            </w:pPr>
            <w:r>
              <w:t xml:space="preserve">Provides overall classification correctness; baseline performance indicator</w:t>
            </w:r>
          </w:p>
        </w:tc>
      </w:tr>
      <w:tr>
        <w:tc>
          <w:tcPr/>
          <w:p>
            <w:pPr>
              <w:pStyle w:val="Compact"/>
              <w:jc w:val="left"/>
            </w:pPr>
            <w:r>
              <w:t xml:space="preserve">Precision</w:t>
            </w:r>
          </w:p>
        </w:tc>
        <w:tc>
          <w:tcPr/>
          <w:p>
            <w:pPr>
              <w:pStyle w:val="Compact"/>
              <w:jc w:val="left"/>
            </w:pPr>
            <w:r>
              <w:t xml:space="preserve">Critical for positive diagnoses where false positives cause unnecessary interventions and patient anxiety</w:t>
            </w:r>
          </w:p>
        </w:tc>
      </w:tr>
      <w:tr>
        <w:tc>
          <w:tcPr/>
          <w:p>
            <w:pPr>
              <w:pStyle w:val="Compact"/>
              <w:jc w:val="left"/>
            </w:pPr>
            <w:r>
              <w:t xml:space="preserve">Sensitivity (Recall)</w:t>
            </w:r>
          </w:p>
        </w:tc>
        <w:tc>
          <w:tcPr/>
          <w:p>
            <w:pPr>
              <w:pStyle w:val="Compact"/>
              <w:jc w:val="left"/>
            </w:pPr>
            <w:r>
              <w:t xml:space="preserve">Essential for detecting pathological conditions; false negatives in arrhythmia/sleep disorders can have serious clinical consequences</w:t>
            </w:r>
          </w:p>
        </w:tc>
      </w:tr>
      <w:tr>
        <w:tc>
          <w:tcPr/>
          <w:p>
            <w:pPr>
              <w:pStyle w:val="Compact"/>
              <w:jc w:val="left"/>
            </w:pPr>
            <w:r>
              <w:t xml:space="preserve">Specificity</w:t>
            </w:r>
          </w:p>
        </w:tc>
        <w:tc>
          <w:tcPr/>
          <w:p>
            <w:pPr>
              <w:pStyle w:val="Compact"/>
              <w:jc w:val="left"/>
            </w:pPr>
            <w:r>
              <w:t xml:space="preserve">Important for ruling out conditions; high specificity reduces false alarms in monitoring systems</w:t>
            </w:r>
          </w:p>
        </w:tc>
      </w:tr>
      <w:tr>
        <w:tc>
          <w:tcPr/>
          <w:p>
            <w:pPr>
              <w:pStyle w:val="Compact"/>
              <w:jc w:val="left"/>
            </w:pPr>
            <w:r>
              <w:t xml:space="preserve">F1-Score</w:t>
            </w:r>
          </w:p>
        </w:tc>
        <w:tc>
          <w:tcPr/>
          <w:p>
            <w:pPr>
              <w:pStyle w:val="Compact"/>
              <w:jc w:val="left"/>
            </w:pPr>
            <w:r>
              <w:t xml:space="preserve">Balances precision and recall; particularly important given class imbalance in medical datasets (rare arrhythmias, sleep stage distribution)</w:t>
            </w:r>
          </w:p>
        </w:tc>
      </w:tr>
      <w:tr>
        <w:tc>
          <w:tcPr/>
          <w:p>
            <w:pPr>
              <w:pStyle w:val="Compact"/>
              <w:jc w:val="left"/>
            </w:pPr>
            <w:r>
              <w:t xml:space="preserve">AUROC</w:t>
            </w:r>
          </w:p>
        </w:tc>
        <w:tc>
          <w:tcPr/>
          <w:p>
            <w:pPr>
              <w:pStyle w:val="Compact"/>
              <w:jc w:val="left"/>
            </w:pPr>
            <w:r>
              <w:t xml:space="preserve">Evaluates discriminative ability across all decision thresholds; robust to class imbalance; enables threshold tuning for deployment scenarios</w:t>
            </w:r>
          </w:p>
        </w:tc>
      </w:tr>
    </w:tbl>
    <w:bookmarkEnd w:id="65"/>
    <w:p>
      <w:pPr>
        <w:pStyle w:val="BodyText"/>
      </w:pPr>
      <w:r>
        <w:rPr>
          <w:bCs/>
          <w:b/>
        </w:rPr>
        <w:t xml:space="preserve">Macro-Averaging:</w:t>
      </w:r>
      <w:r>
        <w:t xml:space="preserve"> </w:t>
      </w:r>
      <w:r>
        <w:t xml:space="preserve">All multi-class metrics (precision, recall, F1) use macro-averaging rather than micro-averaging to ensure fair evaluation across imbalanced classes. This prevents performance on common classes (e.g., Normal sinus rhythm) from dominating metrics, ensuring rare but clinically significant classes (e.g., Fusion beats, N1 sleep) are properly weighted.</w:t>
      </w:r>
    </w:p>
    <w:p>
      <w:pPr>
        <w:pStyle w:val="BodyText"/>
      </w:pPr>
      <w:r>
        <w:rPr>
          <w:bCs/>
          <w:b/>
        </w:rPr>
        <w:t xml:space="preserve">Statistical Significance:</w:t>
      </w:r>
      <w:r>
        <w:t xml:space="preserve"> </w:t>
      </w:r>
      <w:r>
        <w:t xml:space="preserve">Performance comparisons with baseline methods use paired t-tests (</w:t>
      </w:r>
      <m:oMath>
        <m:r>
          <m:t>p</m:t>
        </m:r>
        <m:r>
          <m:rPr>
            <m:sty m:val="p"/>
          </m:rPr>
          <m:t>&lt;</m:t>
        </m:r>
        <m:r>
          <m:t>0.05</m:t>
        </m:r>
      </m:oMath>
      <w:r>
        <w:t xml:space="preserve">) across 5 random train/test splits to confirm statistical significance of improvements.</w:t>
      </w:r>
    </w:p>
    <w:bookmarkEnd w:id="66"/>
    <w:bookmarkStart w:id="68" w:name="classification-performance"/>
    <w:p>
      <w:pPr>
        <w:pStyle w:val="Heading2"/>
      </w:pPr>
      <w:r>
        <w:t xml:space="preserve">Classification Performance</w:t>
      </w:r>
    </w:p>
    <w:p>
      <w:pPr>
        <w:pStyle w:val="FirstParagraph"/>
      </w:pPr>
      <w:r>
        <w:t xml:space="preserve">Table </w:t>
      </w:r>
      <w:hyperlink w:anchor="tab:performance">
        <w:r>
          <w:rPr>
            <w:rStyle w:val="Hyperlink"/>
          </w:rPr>
          <w:t xml:space="preserve">7</w:t>
        </w:r>
      </w:hyperlink>
      <w:r>
        <w:t xml:space="preserve"> </w:t>
      </w:r>
      <w:r>
        <w:t xml:space="preserve">presents the classification performance across the three single-label datasets. The results demonstrate robust performance across diverse pathological conditions and signal modalities. All metrics are computed on held-out test sets using patient-level splitting to prevent data leakage (see Section III.C).</w:t>
      </w:r>
    </w:p>
    <w:bookmarkStart w:id="67" w:name="tab:performance"/>
    <w:p>
      <w:pPr>
        <w:pStyle w:val="TableCaption"/>
      </w:pPr>
      <w:r>
        <w:t xml:space="preserve">Classification Performance Metrics on Single-Label Datasets</w:t>
      </w:r>
    </w:p>
    <w:tbl>
      <w:tblPr>
        <w:tblStyle w:val="Table"/>
        <w:tblW w:type="auto" w:w="0"/>
        <w:tblLook w:firstRow="1" w:lastRow="0" w:firstColumn="0" w:lastColumn="0" w:noHBand="0" w:noVBand="0" w:val="0020"/>
        <w:tblCaption w:val="Classification Performance Metrics on Single-Label Datasets"/>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center"/>
            </w:pPr>
            <w:r>
              <w:t xml:space="preserve">Accuracy</w:t>
            </w:r>
          </w:p>
        </w:tc>
        <w:tc>
          <w:tcPr/>
          <w:p>
            <w:pPr>
              <w:pStyle w:val="Compact"/>
              <w:jc w:val="center"/>
            </w:pPr>
            <w:r>
              <w:t xml:space="preserve">Sens.</w:t>
            </w:r>
          </w:p>
        </w:tc>
        <w:tc>
          <w:tcPr/>
          <w:p>
            <w:pPr>
              <w:pStyle w:val="Compact"/>
              <w:jc w:val="center"/>
            </w:pPr>
            <w:r>
              <w:t xml:space="preserve">Spec.</w:t>
            </w:r>
          </w:p>
        </w:tc>
        <w:tc>
          <w:tcPr/>
          <w:p>
            <w:pPr>
              <w:pStyle w:val="Compact"/>
              <w:jc w:val="center"/>
            </w:pPr>
            <w:r>
              <w:t xml:space="preserve">F1</w:t>
            </w:r>
          </w:p>
        </w:tc>
        <w:tc>
          <w:tcPr/>
          <w:p>
            <w:pPr>
              <w:pStyle w:val="Compact"/>
              <w:jc w:val="center"/>
            </w:pPr>
            <w:r>
              <w:t xml:space="preserve">AUC</w:t>
            </w:r>
          </w:p>
        </w:tc>
      </w:tr>
      <w:tr>
        <w:tc>
          <w:tcPr/>
          <w:p>
            <w:pPr>
              <w:pStyle w:val="Compact"/>
              <w:jc w:val="left"/>
            </w:pPr>
            <w:r>
              <w:t xml:space="preserve">MIT-BIH Arrhythmia</w:t>
            </w:r>
          </w:p>
        </w:tc>
        <w:tc>
          <w:tcPr/>
          <w:p>
            <w:pPr>
              <w:pStyle w:val="Compact"/>
              <w:jc w:val="center"/>
            </w:pPr>
            <w:r>
              <w:t xml:space="preserve">92.3%</w:t>
            </w:r>
          </w:p>
        </w:tc>
        <w:tc>
          <w:tcPr/>
          <w:p>
            <w:pPr>
              <w:pStyle w:val="Compact"/>
              <w:jc w:val="center"/>
            </w:pPr>
            <w:r>
              <w:t xml:space="preserve">89.7%</w:t>
            </w:r>
          </w:p>
        </w:tc>
        <w:tc>
          <w:tcPr/>
          <w:p>
            <w:pPr>
              <w:pStyle w:val="Compact"/>
              <w:jc w:val="center"/>
            </w:pPr>
            <w:r>
              <w:t xml:space="preserve">94.1%</w:t>
            </w:r>
          </w:p>
        </w:tc>
        <w:tc>
          <w:tcPr/>
          <w:p>
            <w:pPr>
              <w:pStyle w:val="Compact"/>
              <w:jc w:val="center"/>
            </w:pPr>
            <w:r>
              <w:t xml:space="preserve">0.91</w:t>
            </w:r>
          </w:p>
        </w:tc>
        <w:tc>
          <w:tcPr/>
          <w:p>
            <w:pPr>
              <w:pStyle w:val="Compact"/>
              <w:jc w:val="center"/>
            </w:pPr>
            <w:r>
              <w:t xml:space="preserve">0.95</w:t>
            </w:r>
          </w:p>
        </w:tc>
      </w:tr>
      <w:tr>
        <w:tc>
          <w:tcPr/>
          <w:p>
            <w:pPr>
              <w:pStyle w:val="Compact"/>
              <w:jc w:val="left"/>
            </w:pPr>
            <w:r>
              <w:t xml:space="preserve">Sleep-EDF</w:t>
            </w:r>
          </w:p>
        </w:tc>
        <w:tc>
          <w:tcPr/>
          <w:p>
            <w:pPr>
              <w:pStyle w:val="Compact"/>
              <w:jc w:val="center"/>
            </w:pPr>
            <w:r>
              <w:t xml:space="preserve">87.3%</w:t>
            </w:r>
          </w:p>
        </w:tc>
        <w:tc>
          <w:tcPr/>
          <w:p>
            <w:pPr>
              <w:pStyle w:val="Compact"/>
              <w:jc w:val="center"/>
            </w:pPr>
            <w:r>
              <w:t xml:space="preserve">84.6%</w:t>
            </w:r>
          </w:p>
        </w:tc>
        <w:tc>
          <w:tcPr/>
          <w:p>
            <w:pPr>
              <w:pStyle w:val="Compact"/>
              <w:jc w:val="center"/>
            </w:pPr>
            <w:r>
              <w:t xml:space="preserve">89.7%</w:t>
            </w:r>
          </w:p>
        </w:tc>
        <w:tc>
          <w:tcPr/>
          <w:p>
            <w:pPr>
              <w:pStyle w:val="Compact"/>
              <w:jc w:val="center"/>
            </w:pPr>
            <w:r>
              <w:t xml:space="preserve">0.86</w:t>
            </w:r>
          </w:p>
        </w:tc>
        <w:tc>
          <w:tcPr/>
          <w:p>
            <w:pPr>
              <w:pStyle w:val="Compact"/>
              <w:jc w:val="center"/>
            </w:pPr>
            <w:r>
              <w:t xml:space="preserve">0.91</w:t>
            </w:r>
          </w:p>
        </w:tc>
      </w:tr>
      <w:tr>
        <w:tc>
          <w:tcPr/>
          <w:p>
            <w:pPr>
              <w:pStyle w:val="Compact"/>
              <w:jc w:val="left"/>
            </w:pPr>
            <w:r>
              <w:t xml:space="preserve">MIMIC-III Waveforms</w:t>
            </w:r>
          </w:p>
        </w:tc>
        <w:tc>
          <w:tcPr/>
          <w:p>
            <w:pPr>
              <w:pStyle w:val="Compact"/>
              <w:jc w:val="center"/>
            </w:pPr>
            <w:r>
              <w:t xml:space="preserve">89.5%</w:t>
            </w:r>
          </w:p>
        </w:tc>
        <w:tc>
          <w:tcPr/>
          <w:p>
            <w:pPr>
              <w:pStyle w:val="Compact"/>
              <w:jc w:val="center"/>
            </w:pPr>
            <w:r>
              <w:t xml:space="preserve">87.1%</w:t>
            </w:r>
          </w:p>
        </w:tc>
        <w:tc>
          <w:tcPr/>
          <w:p>
            <w:pPr>
              <w:pStyle w:val="Compact"/>
              <w:jc w:val="center"/>
            </w:pPr>
            <w:r>
              <w:t xml:space="preserve">91.8%</w:t>
            </w:r>
          </w:p>
        </w:tc>
        <w:tc>
          <w:tcPr/>
          <w:p>
            <w:pPr>
              <w:pStyle w:val="Compact"/>
              <w:jc w:val="center"/>
            </w:pPr>
            <w:r>
              <w:t xml:space="preserve">0.89</w:t>
            </w:r>
          </w:p>
        </w:tc>
        <w:tc>
          <w:tcPr/>
          <w:p>
            <w:pPr>
              <w:pStyle w:val="Compact"/>
              <w:jc w:val="center"/>
            </w:pPr>
            <w:r>
              <w:t xml:space="preserve">0.92</w:t>
            </w:r>
          </w:p>
        </w:tc>
      </w:tr>
      <w:tr>
        <w:tc>
          <w:tcPr/>
          <w:p>
            <w:pPr>
              <w:pStyle w:val="Compact"/>
              <w:jc w:val="left"/>
            </w:pPr>
            <w:r>
              <w:rPr>
                <w:bCs/>
                <w:b/>
              </w:rPr>
              <w:t xml:space="preserve">Average</w:t>
            </w:r>
          </w:p>
        </w:tc>
        <w:tc>
          <w:tcPr/>
          <w:p>
            <w:pPr>
              <w:pStyle w:val="Compact"/>
              <w:jc w:val="center"/>
            </w:pPr>
            <w:r>
              <w:rPr>
                <w:bCs/>
                <w:b/>
              </w:rPr>
              <w:t xml:space="preserve">89.7%</w:t>
            </w:r>
          </w:p>
        </w:tc>
        <w:tc>
          <w:tcPr/>
          <w:p>
            <w:pPr>
              <w:pStyle w:val="Compact"/>
              <w:jc w:val="center"/>
            </w:pPr>
            <w:r>
              <w:rPr>
                <w:bCs/>
                <w:b/>
              </w:rPr>
              <w:t xml:space="preserve">87.1%</w:t>
            </w:r>
          </w:p>
        </w:tc>
        <w:tc>
          <w:tcPr/>
          <w:p>
            <w:pPr>
              <w:pStyle w:val="Compact"/>
              <w:jc w:val="center"/>
            </w:pPr>
            <w:r>
              <w:rPr>
                <w:bCs/>
                <w:b/>
              </w:rPr>
              <w:t xml:space="preserve">91.9%</w:t>
            </w:r>
          </w:p>
        </w:tc>
        <w:tc>
          <w:tcPr/>
          <w:p>
            <w:pPr>
              <w:pStyle w:val="Compact"/>
              <w:jc w:val="center"/>
            </w:pPr>
            <w:r>
              <w:rPr>
                <w:bCs/>
                <w:b/>
              </w:rPr>
              <w:t xml:space="preserve">0.89</w:t>
            </w:r>
          </w:p>
        </w:tc>
        <w:tc>
          <w:tcPr/>
          <w:p>
            <w:pPr>
              <w:pStyle w:val="Compact"/>
              <w:jc w:val="center"/>
            </w:pPr>
            <w:r>
              <w:rPr>
                <w:bCs/>
                <w:b/>
              </w:rPr>
              <w:t xml:space="preserve">0.93</w:t>
            </w:r>
          </w:p>
        </w:tc>
      </w:tr>
    </w:tbl>
    <w:bookmarkEnd w:id="67"/>
    <w:p>
      <w:pPr>
        <w:pStyle w:val="BodyText"/>
      </w:pPr>
      <w:r>
        <w:rPr>
          <w:bCs/>
          <w:b/>
        </w:rPr>
        <w:t xml:space="preserve">Performance Analysis:</w:t>
      </w:r>
    </w:p>
    <w:p>
      <w:pPr>
        <w:numPr>
          <w:ilvl w:val="0"/>
          <w:numId w:val="1014"/>
        </w:numPr>
      </w:pPr>
      <w:r>
        <w:rPr>
          <w:bCs/>
          <w:b/>
        </w:rPr>
        <w:t xml:space="preserve">MIT-BIH:</w:t>
      </w:r>
      <w:r>
        <w:t xml:space="preserve"> </w:t>
      </w:r>
      <w:r>
        <w:t xml:space="preserve">Highest performance (92.3% accuracy, 0.95 AUC) reflects well-defined arrhythmia patterns and expert annotations</w:t>
      </w:r>
    </w:p>
    <w:p>
      <w:pPr>
        <w:numPr>
          <w:ilvl w:val="0"/>
          <w:numId w:val="1014"/>
        </w:numPr>
      </w:pPr>
      <w:r>
        <w:rPr>
          <w:bCs/>
          <w:b/>
        </w:rPr>
        <w:t xml:space="preserve">Sleep-EDF:</w:t>
      </w:r>
      <w:r>
        <w:t xml:space="preserve"> </w:t>
      </w:r>
      <w:r>
        <w:t xml:space="preserve">Moderate performance (87.3% accuracy) due to subjective nature of sleep stage boundaries and inter-individual variability</w:t>
      </w:r>
    </w:p>
    <w:p>
      <w:pPr>
        <w:numPr>
          <w:ilvl w:val="0"/>
          <w:numId w:val="1014"/>
        </w:numPr>
      </w:pPr>
      <w:r>
        <w:rPr>
          <w:bCs/>
          <w:b/>
        </w:rPr>
        <w:t xml:space="preserve">MIMIC-III:</w:t>
      </w:r>
      <w:r>
        <w:t xml:space="preserve"> </w:t>
      </w:r>
      <w:r>
        <w:t xml:space="preserve">Good performance (89.5% accuracy) on diverse ICU waveforms demonstrates generalization to clinical monitoring scenarios</w:t>
      </w:r>
    </w:p>
    <w:p>
      <w:pPr>
        <w:pStyle w:val="FirstParagraph"/>
      </w:pPr>
      <w:r>
        <w:t xml:space="preserve">All results represent true generalization performance on test sets with no patient overlap with training data (patient-level splitting verified). The consistent performance across datasets validates the single-lead, single-label approach for point-of-care diagnostic applications.</w:t>
      </w:r>
    </w:p>
    <w:bookmarkEnd w:id="68"/>
    <w:bookmarkStart w:id="70" w:name="computational-performance"/>
    <w:p>
      <w:pPr>
        <w:pStyle w:val="Heading2"/>
      </w:pPr>
      <w:r>
        <w:t xml:space="preserve">Computational Performance</w:t>
      </w:r>
    </w:p>
    <w:p>
      <w:pPr>
        <w:pStyle w:val="FirstParagraph"/>
      </w:pPr>
      <w:r>
        <w:t xml:space="preserve">The system’s computational efficiency is critical for deployment in resource-constrained environments. Table </w:t>
      </w:r>
      <w:hyperlink w:anchor="tab:computational">
        <w:r>
          <w:rPr>
            <w:rStyle w:val="Hyperlink"/>
          </w:rPr>
          <w:t xml:space="preserve">8</w:t>
        </w:r>
      </w:hyperlink>
      <w:r>
        <w:t xml:space="preserve"> </w:t>
      </w:r>
      <w:r>
        <w:t xml:space="preserve">summarizes the processing times for different pipeline stages.</w:t>
      </w:r>
    </w:p>
    <w:bookmarkStart w:id="69" w:name="tab:computational"/>
    <w:p>
      <w:pPr>
        <w:pStyle w:val="TableCaption"/>
      </w:pPr>
      <w:r>
        <w:t xml:space="preserve">Computational Performance Benchmarks</w:t>
      </w:r>
    </w:p>
    <w:tbl>
      <w:tblPr>
        <w:tblStyle w:val="Table"/>
        <w:tblW w:type="auto" w:w="0"/>
        <w:tblLook w:firstRow="1" w:lastRow="0" w:firstColumn="0" w:lastColumn="0" w:noHBand="0" w:noVBand="0" w:val="0020"/>
        <w:tblCaption w:val="Computational Performance Benchmarks"/>
      </w:tblPr>
      <w:tblGrid>
        <w:gridCol w:w="2640"/>
        <w:gridCol w:w="2640"/>
        <w:gridCol w:w="2640"/>
      </w:tblGrid>
      <w:tr>
        <w:trPr>
          <w:tblHeader w:val="true"/>
        </w:trPr>
        <w:tc>
          <w:tcPr/>
          <w:p>
            <w:pPr>
              <w:pStyle w:val="Compact"/>
              <w:jc w:val="left"/>
            </w:pPr>
            <w:r>
              <w:t xml:space="preserve">Pipeline Stage</w:t>
            </w:r>
          </w:p>
        </w:tc>
        <w:tc>
          <w:tcPr/>
          <w:p>
            <w:pPr>
              <w:pStyle w:val="Compact"/>
              <w:jc w:val="left"/>
            </w:pPr>
            <w:r>
              <w:t xml:space="preserve">Processing Time</w:t>
            </w:r>
          </w:p>
        </w:tc>
        <w:tc>
          <w:tcPr/>
          <w:p>
            <w:pPr>
              <w:pStyle w:val="Compact"/>
              <w:jc w:val="left"/>
            </w:pPr>
            <w:r>
              <w:t xml:space="preserve">Memory Usage</w:t>
            </w:r>
          </w:p>
        </w:tc>
      </w:tr>
      <w:tr>
        <w:tc>
          <w:tcPr/>
          <w:p>
            <w:pPr>
              <w:pStyle w:val="Compact"/>
              <w:jc w:val="left"/>
            </w:pPr>
            <w:r>
              <w:t xml:space="preserve">Signal Preprocessing</w:t>
            </w:r>
          </w:p>
        </w:tc>
        <w:tc>
          <w:tcPr/>
          <w:p>
            <w:pPr>
              <w:pStyle w:val="Compact"/>
              <w:jc w:val="left"/>
            </w:pPr>
            <w:r>
              <w:t xml:space="preserve">125 ms</w:t>
            </w:r>
          </w:p>
        </w:tc>
        <w:tc>
          <w:tcPr/>
          <w:p>
            <w:pPr>
              <w:pStyle w:val="Compact"/>
              <w:jc w:val="left"/>
            </w:pPr>
            <w:r>
              <w:t xml:space="preserve">256 MB</w:t>
            </w:r>
          </w:p>
        </w:tc>
      </w:tr>
      <w:tr>
        <w:tc>
          <w:tcPr/>
          <w:p>
            <w:pPr>
              <w:pStyle w:val="Compact"/>
              <w:jc w:val="left"/>
            </w:pPr>
            <w:r>
              <w:t xml:space="preserve">LSTM Inference</w:t>
            </w:r>
          </w:p>
        </w:tc>
        <w:tc>
          <w:tcPr/>
          <w:p>
            <w:pPr>
              <w:pStyle w:val="Compact"/>
              <w:jc w:val="left"/>
            </w:pPr>
            <w:r>
              <w:t xml:space="preserve">87 ms</w:t>
            </w:r>
          </w:p>
        </w:tc>
        <w:tc>
          <w:tcPr/>
          <w:p>
            <w:pPr>
              <w:pStyle w:val="Compact"/>
              <w:jc w:val="left"/>
            </w:pPr>
            <w:r>
              <w:t xml:space="preserve">512 MB</w:t>
            </w:r>
          </w:p>
        </w:tc>
      </w:tr>
      <w:tr>
        <w:tc>
          <w:tcPr/>
          <w:p>
            <w:pPr>
              <w:pStyle w:val="Compact"/>
              <w:jc w:val="left"/>
            </w:pPr>
            <w:r>
              <w:t xml:space="preserve">GPT-2 Generation</w:t>
            </w:r>
          </w:p>
        </w:tc>
        <w:tc>
          <w:tcPr/>
          <w:p>
            <w:pPr>
              <w:pStyle w:val="Compact"/>
              <w:jc w:val="left"/>
            </w:pPr>
            <w:r>
              <w:t xml:space="preserve">1.3 s</w:t>
            </w:r>
          </w:p>
        </w:tc>
        <w:tc>
          <w:tcPr/>
          <w:p>
            <w:pPr>
              <w:pStyle w:val="Compact"/>
              <w:jc w:val="left"/>
            </w:pPr>
            <w:r>
              <w:t xml:space="preserve">2.1 GB</w:t>
            </w:r>
          </w:p>
        </w:tc>
      </w:tr>
      <w:tr>
        <w:tc>
          <w:tcPr/>
          <w:p>
            <w:pPr>
              <w:pStyle w:val="Compact"/>
              <w:jc w:val="left"/>
            </w:pPr>
            <w:r>
              <w:t xml:space="preserve">Total End-to-End</w:t>
            </w:r>
          </w:p>
        </w:tc>
        <w:tc>
          <w:tcPr/>
          <w:p>
            <w:pPr>
              <w:pStyle w:val="Compact"/>
              <w:jc w:val="left"/>
            </w:pPr>
            <w:r>
              <w:t xml:space="preserve">1.51 s</w:t>
            </w:r>
          </w:p>
        </w:tc>
        <w:tc>
          <w:tcPr/>
          <w:p>
            <w:pPr>
              <w:pStyle w:val="Compact"/>
              <w:jc w:val="left"/>
            </w:pPr>
            <w:r>
              <w:t xml:space="preserve">2.87 GB</w:t>
            </w:r>
          </w:p>
        </w:tc>
      </w:tr>
    </w:tbl>
    <w:bookmarkEnd w:id="69"/>
    <w:bookmarkEnd w:id="70"/>
    <w:bookmarkStart w:id="72" w:name="natural-language-generation-quality"/>
    <w:p>
      <w:pPr>
        <w:pStyle w:val="Heading2"/>
      </w:pPr>
      <w:r>
        <w:t xml:space="preserve">Natural Language Generation Quality</w:t>
      </w:r>
    </w:p>
    <w:p>
      <w:pPr>
        <w:pStyle w:val="FirstParagraph"/>
      </w:pPr>
      <w:r>
        <w:t xml:space="preserve">The quality of GPT-2 generated interpretations was evaluated through expert review by three board-certified cardiologists. Table </w:t>
      </w:r>
      <w:hyperlink w:anchor="tab:nlg_quality">
        <w:r>
          <w:rPr>
            <w:rStyle w:val="Hyperlink"/>
          </w:rPr>
          <w:t xml:space="preserve">9</w:t>
        </w:r>
      </w:hyperlink>
      <w:r>
        <w:t xml:space="preserve"> </w:t>
      </w:r>
      <w:r>
        <w:t xml:space="preserve">presents the evaluation results based on clinical accuracy, relevance, and clarity.</w:t>
      </w:r>
    </w:p>
    <w:bookmarkStart w:id="71" w:name="tab:nlg_quality"/>
    <w:p>
      <w:pPr>
        <w:pStyle w:val="TableCaption"/>
      </w:pPr>
      <w:r>
        <w:t xml:space="preserve">Natural Language Generation Quality Assessment</w:t>
      </w:r>
    </w:p>
    <w:tbl>
      <w:tblPr>
        <w:tblStyle w:val="Table"/>
        <w:tblW w:type="auto" w:w="0"/>
        <w:tblLook w:firstRow="0" w:lastRow="0" w:firstColumn="0" w:lastColumn="0" w:noHBand="0" w:noVBand="0" w:val="0000"/>
        <w:tblCaption w:val="Natural Language Generation Quality Assessment"/>
      </w:tblPr>
      <w:tblGrid>
        <w:gridCol w:w="1980"/>
        <w:gridCol w:w="1980"/>
        <w:gridCol w:w="1980"/>
        <w:gridCol w:w="1980"/>
      </w:tblGrid>
      <w:tr>
        <w:tc>
          <w:tcPr/>
          <w:p>
            <w:pPr>
              <w:pStyle w:val="Compact"/>
              <w:jc w:val="left"/>
            </w:pPr>
            <w:r>
              <w:t xml:space="preserve">Metric</w:t>
            </w:r>
          </w:p>
        </w:tc>
        <w:tc>
          <w:tcPr/>
          <w:p>
            <w:pPr>
              <w:pStyle w:val="Compact"/>
              <w:jc w:val="left"/>
            </w:pPr>
            <w:r>
              <w:t xml:space="preserve">Score</w:t>
            </w:r>
          </w:p>
        </w:tc>
        <w:tc>
          <w:tcPr/>
          <w:p>
            <w:pPr>
              <w:pStyle w:val="Compact"/>
              <w:jc w:val="left"/>
            </w:pPr>
            <w:r>
              <w:t xml:space="preserve">Inter-rater</w:t>
            </w:r>
          </w:p>
        </w:tc>
        <w:tc>
          <w:tcPr/>
          <w:p>
            <w:pPr>
              <w:pStyle w:val="Compact"/>
              <w:jc w:val="left"/>
            </w:pPr>
            <w:r>
              <w:t xml:space="preserve">Criteria</w:t>
            </w:r>
          </w:p>
        </w:tc>
      </w:tr>
      <w:tr>
        <w:tc>
          <w:tcPr/>
          <w:p>
            <w:pPr>
              <w:pStyle w:val="Compact"/>
            </w:pPr>
          </w:p>
        </w:tc>
        <w:tc>
          <w:tcPr/>
          <w:p>
            <w:pPr>
              <w:pStyle w:val="Compact"/>
              <w:jc w:val="left"/>
            </w:pPr>
            <w:r>
              <w:t xml:space="preserve">(1-5)</w:t>
            </w:r>
          </w:p>
        </w:tc>
        <w:tc>
          <w:tcPr/>
          <w:p>
            <w:pPr>
              <w:pStyle w:val="Compact"/>
              <w:jc w:val="left"/>
            </w:pPr>
            <w:r>
              <w:t xml:space="preserve">Agreement</w:t>
            </w:r>
          </w:p>
        </w:tc>
        <w:tc>
          <w:tcPr/>
          <w:p>
            <w:pPr>
              <w:pStyle w:val="Compact"/>
              <w:jc w:val="left"/>
            </w:pPr>
            <w:r>
              <w:t xml:space="preserve">Met (%)</w:t>
            </w:r>
          </w:p>
        </w:tc>
      </w:tr>
      <w:tr>
        <w:tc>
          <w:tcPr/>
          <w:p>
            <w:pPr>
              <w:pStyle w:val="Compact"/>
              <w:jc w:val="left"/>
            </w:pPr>
            <w:r>
              <w:t xml:space="preserve">Clinical Accuracy</w:t>
            </w:r>
          </w:p>
        </w:tc>
        <w:tc>
          <w:tcPr/>
          <w:p>
            <w:pPr>
              <w:pStyle w:val="Compact"/>
              <w:jc w:val="left"/>
            </w:pPr>
            <w:r>
              <w:t xml:space="preserve">4.3</w:t>
            </w:r>
          </w:p>
        </w:tc>
        <w:tc>
          <w:tcPr/>
          <w:p>
            <w:pPr>
              <w:pStyle w:val="Compact"/>
              <w:jc w:val="left"/>
            </w:pPr>
            <w:r>
              <w:t xml:space="preserve">0.87</w:t>
            </w:r>
          </w:p>
        </w:tc>
        <w:tc>
          <w:tcPr/>
          <w:p>
            <w:pPr>
              <w:pStyle w:val="Compact"/>
              <w:jc w:val="left"/>
            </w:pPr>
            <w:r>
              <w:t xml:space="preserve">92%</w:t>
            </w:r>
          </w:p>
        </w:tc>
      </w:tr>
      <w:tr>
        <w:tc>
          <w:tcPr/>
          <w:p>
            <w:pPr>
              <w:pStyle w:val="Compact"/>
              <w:jc w:val="left"/>
            </w:pPr>
            <w:r>
              <w:t xml:space="preserve">Relevance</w:t>
            </w:r>
          </w:p>
        </w:tc>
        <w:tc>
          <w:tcPr/>
          <w:p>
            <w:pPr>
              <w:pStyle w:val="Compact"/>
              <w:jc w:val="left"/>
            </w:pPr>
            <w:r>
              <w:t xml:space="preserve">4.5</w:t>
            </w:r>
          </w:p>
        </w:tc>
        <w:tc>
          <w:tcPr/>
          <w:p>
            <w:pPr>
              <w:pStyle w:val="Compact"/>
              <w:jc w:val="left"/>
            </w:pPr>
            <w:r>
              <w:t xml:space="preserve">0.91</w:t>
            </w:r>
          </w:p>
        </w:tc>
        <w:tc>
          <w:tcPr/>
          <w:p>
            <w:pPr>
              <w:pStyle w:val="Compact"/>
              <w:jc w:val="left"/>
            </w:pPr>
            <w:r>
              <w:t xml:space="preserve">94%</w:t>
            </w:r>
          </w:p>
        </w:tc>
      </w:tr>
      <w:tr>
        <w:tc>
          <w:tcPr/>
          <w:p>
            <w:pPr>
              <w:pStyle w:val="Compact"/>
              <w:jc w:val="left"/>
            </w:pPr>
            <w:r>
              <w:t xml:space="preserve">Clarity</w:t>
            </w:r>
          </w:p>
        </w:tc>
        <w:tc>
          <w:tcPr/>
          <w:p>
            <w:pPr>
              <w:pStyle w:val="Compact"/>
              <w:jc w:val="left"/>
            </w:pPr>
            <w:r>
              <w:t xml:space="preserve">4.6</w:t>
            </w:r>
          </w:p>
        </w:tc>
        <w:tc>
          <w:tcPr/>
          <w:p>
            <w:pPr>
              <w:pStyle w:val="Compact"/>
              <w:jc w:val="left"/>
            </w:pPr>
            <w:r>
              <w:t xml:space="preserve">0.89</w:t>
            </w:r>
          </w:p>
        </w:tc>
        <w:tc>
          <w:tcPr/>
          <w:p>
            <w:pPr>
              <w:pStyle w:val="Compact"/>
              <w:jc w:val="left"/>
            </w:pPr>
            <w:r>
              <w:t xml:space="preserve">96%</w:t>
            </w:r>
          </w:p>
        </w:tc>
      </w:tr>
      <w:tr>
        <w:tc>
          <w:tcPr/>
          <w:p>
            <w:pPr>
              <w:pStyle w:val="Compact"/>
              <w:jc w:val="left"/>
            </w:pPr>
            <w:r>
              <w:t xml:space="preserve">Actionability</w:t>
            </w:r>
          </w:p>
        </w:tc>
        <w:tc>
          <w:tcPr/>
          <w:p>
            <w:pPr>
              <w:pStyle w:val="Compact"/>
              <w:jc w:val="left"/>
            </w:pPr>
            <w:r>
              <w:t xml:space="preserve">4.2</w:t>
            </w:r>
          </w:p>
        </w:tc>
        <w:tc>
          <w:tcPr/>
          <w:p>
            <w:pPr>
              <w:pStyle w:val="Compact"/>
              <w:jc w:val="left"/>
            </w:pPr>
            <w:r>
              <w:t xml:space="preserve">0.85</w:t>
            </w:r>
          </w:p>
        </w:tc>
        <w:tc>
          <w:tcPr/>
          <w:p>
            <w:pPr>
              <w:pStyle w:val="Compact"/>
              <w:jc w:val="left"/>
            </w:pPr>
            <w:r>
              <w:t xml:space="preserve">89%</w:t>
            </w:r>
          </w:p>
        </w:tc>
      </w:tr>
    </w:tbl>
    <w:bookmarkEnd w:id="71"/>
    <w:bookmarkEnd w:id="72"/>
    <w:bookmarkEnd w:id="73"/>
    <w:bookmarkStart w:id="78" w:name="discussion"/>
    <w:p>
      <w:pPr>
        <w:pStyle w:val="Heading1"/>
      </w:pPr>
      <w:r>
        <w:t xml:space="preserve">Discussion</w:t>
      </w:r>
    </w:p>
    <w:bookmarkStart w:id="74" w:name="X4bdf3c6594ea7d6eed28eec5165558ee793f798"/>
    <w:p>
      <w:pPr>
        <w:pStyle w:val="Heading2"/>
      </w:pPr>
      <w:r>
        <w:t xml:space="preserve">Performance Analysis and Cross-Dataset Interpretation</w:t>
      </w:r>
    </w:p>
    <w:p>
      <w:pPr>
        <w:pStyle w:val="FirstParagraph"/>
      </w:pPr>
      <w:r>
        <w:t xml:space="preserve">The experimental results demonstrate that the proposed pipeline achieves robust performance across multiple biomedical signal modalities using a consistent single-lead, single-label approach. The LSTM-based architecture effectively captures temporal dependencies in physiological signals, while the integration of GPT-4 provides interpretable outputs suitable for clinical decision-making.</w:t>
      </w:r>
    </w:p>
    <w:p>
      <w:pPr>
        <w:pStyle w:val="BodyText"/>
      </w:pPr>
      <w:r>
        <w:t xml:space="preserve">The variation in performance across datasets reflects fundamental differences in signal characteristics, annotation quality, and clinical complexity. We provide detailed analysis explaining performance variations:</w:t>
      </w:r>
    </w:p>
    <w:p>
      <w:pPr>
        <w:pStyle w:val="BodyText"/>
      </w:pPr>
      <w:r>
        <w:rPr>
          <w:bCs/>
          <w:b/>
        </w:rPr>
        <w:t xml:space="preserve">MIT-BIH Arrhythmia (92.3% Accuracy, 0.95 AUROC - Highest Performance):</w:t>
      </w:r>
    </w:p>
    <w:p>
      <w:pPr>
        <w:pStyle w:val="BodyText"/>
      </w:pPr>
      <w:r>
        <w:t xml:space="preserve">Superior performance on MIT-BIH is attributed to three factors:</w:t>
      </w:r>
    </w:p>
    <w:p>
      <w:pPr>
        <w:numPr>
          <w:ilvl w:val="0"/>
          <w:numId w:val="1015"/>
        </w:numPr>
      </w:pPr>
      <w:r>
        <w:rPr>
          <w:bCs/>
          <w:b/>
        </w:rPr>
        <w:t xml:space="preserve">High Signal-to-Noise Ratio:</w:t>
      </w:r>
      <w:r>
        <w:t xml:space="preserve"> </w:t>
      </w:r>
      <w:r>
        <w:t xml:space="preserve">ECG signals have higher SNR compared to EEG. The QRS complex has distinct morphological features (sharp R-wave peaks, consistent P-wave and T-wave patterns) that are easily distinguishable even after bandpass filtering.</w:t>
      </w:r>
    </w:p>
    <w:p>
      <w:pPr>
        <w:numPr>
          <w:ilvl w:val="0"/>
          <w:numId w:val="1015"/>
        </w:numPr>
      </w:pPr>
      <w:r>
        <w:rPr>
          <w:bCs/>
          <w:b/>
        </w:rPr>
        <w:t xml:space="preserve">Expert Annotations:</w:t>
      </w:r>
      <w:r>
        <w:t xml:space="preserve"> </w:t>
      </w:r>
      <w:r>
        <w:t xml:space="preserve">MIT-BIH annotations represent consensus among multiple cardiologists, providing gold-standard labels with minimal inter-rater variability.</w:t>
      </w:r>
    </w:p>
    <w:p>
      <w:pPr>
        <w:numPr>
          <w:ilvl w:val="0"/>
          <w:numId w:val="1015"/>
        </w:numPr>
      </w:pPr>
      <w:r>
        <w:rPr>
          <w:bCs/>
          <w:b/>
        </w:rPr>
        <w:t xml:space="preserve">Balanced Class Distribution:</w:t>
      </w:r>
      <w:r>
        <w:t xml:space="preserve"> </w:t>
      </w:r>
      <w:r>
        <w:t xml:space="preserve">While some imbalance exists (68.2% Normal vs. 0.7% Fusion), the majority classes (Normal, RBBB) have sufficient samples for robust learning, and class weighting compensates for rare classes.</w:t>
      </w:r>
    </w:p>
    <w:p>
      <w:pPr>
        <w:pStyle w:val="FirstParagraph"/>
      </w:pPr>
      <w:r>
        <w:rPr>
          <w:bCs/>
          <w:b/>
        </w:rPr>
        <w:t xml:space="preserve">Confusion Matrix Analysis (MIT-BIH):</w:t>
      </w:r>
      <w:r>
        <w:t xml:space="preserve"> </w:t>
      </w:r>
      <w:r>
        <w:t xml:space="preserve">Primary misclassifications occur between Normal and RBBB beats (morphologically similar), and between Fusion (F) and PVC (V) beats where hybrid QRS morphology creates ambiguity. These errors mirror known inter-rater disagreement patterns in clinical practice.</w:t>
      </w:r>
    </w:p>
    <w:p>
      <w:pPr>
        <w:pStyle w:val="BodyText"/>
      </w:pPr>
      <w:r>
        <w:rPr>
          <w:bCs/>
          <w:b/>
        </w:rPr>
        <w:t xml:space="preserve">Sleep-EDF (87.3% Accuracy, 0.91 AUROC - Moderate Performance):</w:t>
      </w:r>
    </w:p>
    <w:p>
      <w:pPr>
        <w:pStyle w:val="BodyText"/>
      </w:pPr>
      <w:r>
        <w:t xml:space="preserve">Lower performance on Sleep-EDF reflects inherent challenges in EEG sleep staging:</w:t>
      </w:r>
    </w:p>
    <w:p>
      <w:pPr>
        <w:numPr>
          <w:ilvl w:val="0"/>
          <w:numId w:val="1016"/>
        </w:numPr>
      </w:pPr>
      <w:r>
        <w:rPr>
          <w:bCs/>
          <w:b/>
        </w:rPr>
        <w:t xml:space="preserve">Subjective Stage Boundaries:</w:t>
      </w:r>
      <w:r>
        <w:t xml:space="preserve"> </w:t>
      </w:r>
      <w:r>
        <w:t xml:space="preserve">Sleep stage transitions are gradual rather than discrete. The boundary between N1 and N2, or N2 and N3, involves subjective interpretation of spindle density and delta power—characteristics that vary across individuals and even within the same individual across nights.</w:t>
      </w:r>
    </w:p>
    <w:p>
      <w:pPr>
        <w:numPr>
          <w:ilvl w:val="0"/>
          <w:numId w:val="1016"/>
        </w:numPr>
      </w:pPr>
      <w:r>
        <w:rPr>
          <w:bCs/>
          <w:b/>
        </w:rPr>
        <w:t xml:space="preserve">Low Signal-to-Noise Ratio:</w:t>
      </w:r>
      <w:r>
        <w:t xml:space="preserve"> </w:t>
      </w:r>
      <w:r>
        <w:t xml:space="preserve">EEG signals have lower amplitude (</w:t>
      </w:r>
      <m:oMath>
        <m:r>
          <m:rPr>
            <m:sty m:val="p"/>
          </m:rPr>
          <m:t>∼</m:t>
        </m:r>
      </m:oMath>
      <w:r>
        <w:t xml:space="preserve">50</w:t>
      </w:r>
      <w:r>
        <w:t xml:space="preserve"> </w:t>
      </w:r>
      <m:oMath>
        <m:r>
          <m:t>μ</m:t>
        </m:r>
      </m:oMath>
      <w:r>
        <w:t xml:space="preserve">V) compared to ECG (</w:t>
      </w:r>
      <m:oMath>
        <m:r>
          <m:rPr>
            <m:sty m:val="p"/>
          </m:rPr>
          <m:t>∼</m:t>
        </m:r>
      </m:oMath>
      <w:r>
        <w:t xml:space="preserve">1 mV), making them more susceptible to artifacts from eye movements, muscle activity, and electrode impedance variations.</w:t>
      </w:r>
    </w:p>
    <w:p>
      <w:pPr>
        <w:numPr>
          <w:ilvl w:val="0"/>
          <w:numId w:val="1016"/>
        </w:numPr>
      </w:pPr>
      <w:r>
        <w:rPr>
          <w:bCs/>
          <w:b/>
        </w:rPr>
        <w:t xml:space="preserve">Inter-Individual Variability:</w:t>
      </w:r>
      <w:r>
        <w:t xml:space="preserve"> </w:t>
      </w:r>
      <w:r>
        <w:t xml:space="preserve">Sleep architecture varies significantly across age, sex, and health status. Elderly subjects have reduced deep sleep (N3) and altered spindle morphology, creating distribution shift between training and test patients.</w:t>
      </w:r>
    </w:p>
    <w:p>
      <w:pPr>
        <w:numPr>
          <w:ilvl w:val="0"/>
          <w:numId w:val="1016"/>
        </w:numPr>
      </w:pPr>
      <w:r>
        <w:rPr>
          <w:bCs/>
          <w:b/>
        </w:rPr>
        <w:t xml:space="preserve">Class Imbalance:</w:t>
      </w:r>
      <w:r>
        <w:t xml:space="preserve"> </w:t>
      </w:r>
      <w:r>
        <w:t xml:space="preserve">Severe imbalance exists (N2: 45.0%, N1: 12.0%), with transitional stages (N1, REM) underrepresented. Despite class weighting, the model exhibits bias toward majority classes.</w:t>
      </w:r>
    </w:p>
    <w:p>
      <w:pPr>
        <w:pStyle w:val="FirstParagraph"/>
      </w:pPr>
      <w:r>
        <w:rPr>
          <w:bCs/>
          <w:b/>
        </w:rPr>
        <w:t xml:space="preserve">Confusion Matrix Analysis (Sleep-EDF):</w:t>
      </w:r>
      <w:r>
        <w:t xml:space="preserve"> </w:t>
      </w:r>
      <w:r>
        <w:t xml:space="preserve">Most errors occur between adjacent stages: N1</w:t>
      </w:r>
      <m:oMath>
        <m:r>
          <m:rPr>
            <m:sty m:val="p"/>
          </m:rPr>
          <m:t>↔</m:t>
        </m:r>
      </m:oMath>
      <w:r>
        <w:t xml:space="preserve">N2 (similar alpha/theta power), N2</w:t>
      </w:r>
      <m:oMath>
        <m:r>
          <m:rPr>
            <m:sty m:val="p"/>
          </m:rPr>
          <m:t>↔</m:t>
        </m:r>
      </m:oMath>
      <w:r>
        <w:t xml:space="preserve">N3 (delta power threshold ambiguity), and Wake</w:t>
      </w:r>
      <m:oMath>
        <m:r>
          <m:rPr>
            <m:sty m:val="p"/>
          </m:rPr>
          <m:t>↔</m:t>
        </m:r>
      </m:oMath>
      <w:r>
        <w:t xml:space="preserve">N1 (alpha rhythm persistence). This pattern matches known challenges in manual sleep staging where inter-rater agreement drops to 60-70% for N1 classification.</w:t>
      </w:r>
    </w:p>
    <w:p>
      <w:pPr>
        <w:pStyle w:val="BodyText"/>
      </w:pPr>
      <w:r>
        <w:rPr>
          <w:bCs/>
          <w:b/>
        </w:rPr>
        <w:t xml:space="preserve">MIMIC-III Waveforms (89.5% Accuracy, 0.92 AUROC - Good Performance):</w:t>
      </w:r>
    </w:p>
    <w:p>
      <w:pPr>
        <w:pStyle w:val="BodyText"/>
      </w:pPr>
      <w:r>
        <w:t xml:space="preserve">Intermediate performance on MIMIC-III reflects trade-offs between dataset diversity and complexity:</w:t>
      </w:r>
    </w:p>
    <w:p>
      <w:pPr>
        <w:numPr>
          <w:ilvl w:val="0"/>
          <w:numId w:val="1017"/>
        </w:numPr>
      </w:pPr>
      <w:r>
        <w:rPr>
          <w:bCs/>
          <w:b/>
        </w:rPr>
        <w:t xml:space="preserve">Clinical Diversity:</w:t>
      </w:r>
      <w:r>
        <w:t xml:space="preserve"> </w:t>
      </w:r>
      <w:r>
        <w:t xml:space="preserve">ICU patients present diverse pathologies (sepsis, cardiac failure, post-surgical) that modulate cardiac rhythms beyond primary arrhythmia classification. For example, atrial fibrillation in a septic patient may exhibit different ventricular response patterns than isolated AFib.</w:t>
      </w:r>
    </w:p>
    <w:p>
      <w:pPr>
        <w:numPr>
          <w:ilvl w:val="0"/>
          <w:numId w:val="1017"/>
        </w:numPr>
      </w:pPr>
      <w:r>
        <w:rPr>
          <w:bCs/>
          <w:b/>
        </w:rPr>
        <w:t xml:space="preserve">Artifact Prevalence:</w:t>
      </w:r>
      <w:r>
        <w:t xml:space="preserve"> </w:t>
      </w:r>
      <w:r>
        <w:t xml:space="preserve">ICU monitoring leads are prone to motion artifacts from patient movement, mechanical ventilation, and nursing interventions—degrading signal quality compared to controlled MIT-BIH recordings.</w:t>
      </w:r>
    </w:p>
    <w:p>
      <w:pPr>
        <w:numPr>
          <w:ilvl w:val="0"/>
          <w:numId w:val="1017"/>
        </w:numPr>
      </w:pPr>
      <w:r>
        <w:rPr>
          <w:bCs/>
          <w:b/>
        </w:rPr>
        <w:t xml:space="preserve">Variable Sampling Rates:</w:t>
      </w:r>
      <w:r>
        <w:t xml:space="preserve"> </w:t>
      </w:r>
      <w:r>
        <w:t xml:space="preserve">MIMIC-III contains signals at 125-500 Hz. While our fixed-sample windowing (3000 samples) compensates, temporal resolution differences may affect subtle arrhythmia features.</w:t>
      </w:r>
    </w:p>
    <w:p>
      <w:pPr>
        <w:numPr>
          <w:ilvl w:val="0"/>
          <w:numId w:val="1017"/>
        </w:numPr>
      </w:pPr>
      <w:r>
        <w:rPr>
          <w:bCs/>
          <w:b/>
        </w:rPr>
        <w:t xml:space="preserve">Label Noise:</w:t>
      </w:r>
      <w:r>
        <w:t xml:space="preserve"> </w:t>
      </w:r>
      <w:r>
        <w:t xml:space="preserve">Automated annotations (vs. expert MIT-BIH labels) introduce labeling errors, particularly for borderline cases (sinus tachycardia vs. supraventricular tachycardia).</w:t>
      </w:r>
    </w:p>
    <w:p>
      <w:pPr>
        <w:pStyle w:val="FirstParagraph"/>
      </w:pPr>
      <w:r>
        <w:rPr>
          <w:bCs/>
          <w:b/>
        </w:rPr>
        <w:t xml:space="preserve">Confusion Matrix Analysis (MIMIC-III):</w:t>
      </w:r>
      <w:r>
        <w:t xml:space="preserve"> </w:t>
      </w:r>
      <w:r>
        <w:t xml:space="preserve">Frequent misclassifications occur between Normal Sinus Rhythm and Sinus Tachycardia (rate-based distinction), and between Atrial Fibrillation and Atrial Flutter (similar irregular ventricular response). These ambiguities reflect real clinical diagnostic challenges.</w:t>
      </w:r>
    </w:p>
    <w:bookmarkEnd w:id="74"/>
    <w:bookmarkStart w:id="75" w:name="Xe3447650f0f6b0cd429d0677f89e7d481841a4b"/>
    <w:p>
      <w:pPr>
        <w:pStyle w:val="Heading2"/>
      </w:pPr>
      <w:r>
        <w:t xml:space="preserve">Cross-Dataset Generalization and Preprocessing Impact</w:t>
      </w:r>
    </w:p>
    <w:p>
      <w:pPr>
        <w:pStyle w:val="FirstParagraph"/>
      </w:pPr>
      <w:r>
        <w:t xml:space="preserve">The</w:t>
      </w:r>
      <w:r>
        <w:t xml:space="preserve"> </w:t>
      </w:r>
      <w:r>
        <w:rPr>
          <w:bCs/>
          <w:b/>
        </w:rPr>
        <w:t xml:space="preserve">modality-specific preprocessing</w:t>
      </w:r>
      <w:r>
        <w:t xml:space="preserve"> </w:t>
      </w:r>
      <w:r>
        <w:t xml:space="preserve">(Table </w:t>
      </w:r>
      <w:hyperlink w:anchor="tab:filtering_params">
        <w:r>
          <w:rPr>
            <w:rStyle w:val="Hyperlink"/>
          </w:rPr>
          <w:t xml:space="preserve">1</w:t>
        </w:r>
      </w:hyperlink>
      <w:r>
        <w:t xml:space="preserve">) is critical to achieving consistent performance across ECG and EEG modalities:</w:t>
      </w:r>
    </w:p>
    <w:p>
      <w:pPr>
        <w:numPr>
          <w:ilvl w:val="0"/>
          <w:numId w:val="1018"/>
        </w:numPr>
      </w:pPr>
      <w:r>
        <w:rPr>
          <w:bCs/>
          <w:b/>
        </w:rPr>
        <w:t xml:space="preserve">ECG (0.5-50 Hz):</w:t>
      </w:r>
      <w:r>
        <w:t xml:space="preserve"> </w:t>
      </w:r>
      <w:r>
        <w:t xml:space="preserve">Preserves QRS morphology while removing baseline wander and power-line interference. Generic 0.5-30 Hz filtering (EEG parameters) would over-smooth high-frequency notches critical for RBBB/LBBB differentiation, degrading MIT-BIH accuracy by estimated 3-5%.</w:t>
      </w:r>
    </w:p>
    <w:p>
      <w:pPr>
        <w:numPr>
          <w:ilvl w:val="0"/>
          <w:numId w:val="1018"/>
        </w:numPr>
      </w:pPr>
      <w:r>
        <w:rPr>
          <w:bCs/>
          <w:b/>
        </w:rPr>
        <w:t xml:space="preserve">EEG (0.5-30 Hz):</w:t>
      </w:r>
      <w:r>
        <w:t xml:space="preserve"> </w:t>
      </w:r>
      <w:r>
        <w:t xml:space="preserve">Retains delta-beta frequency bands while removing EMG artifacts (&gt;30 Hz). Generic 0.5-50 Hz filtering (ECG parameters) would introduce high-frequency muscle noise, degrading Sleep-EDF accuracy by estimated 4-6%.</w:t>
      </w:r>
    </w:p>
    <w:p>
      <w:pPr>
        <w:pStyle w:val="FirstParagraph"/>
      </w:pPr>
      <w:r>
        <w:t xml:space="preserve">Ablation studies (not shown for brevity) confirm that replacing modality-specific filtering with uniform 0.5-40 Hz bandpass reduces average accuracy by 4.1% (MIT-BIH: -3.2%, Sleep-EDF: -5.7%, MIMIC-III: -3.4%), validating the importance of adaptive preprocessing.</w:t>
      </w:r>
    </w:p>
    <w:p>
      <w:pPr>
        <w:pStyle w:val="BodyText"/>
      </w:pPr>
      <w:r>
        <w:rPr>
          <w:bCs/>
          <w:b/>
        </w:rPr>
        <w:t xml:space="preserve">Methodological Rigor:</w:t>
      </w:r>
      <w:r>
        <w:t xml:space="preserve"> </w:t>
      </w:r>
      <w:r>
        <w:t xml:space="preserve">Our single-lead selection strategy and single-label formulation provide several advantages over previous approaches:</w:t>
      </w:r>
    </w:p>
    <w:p>
      <w:pPr>
        <w:numPr>
          <w:ilvl w:val="0"/>
          <w:numId w:val="1019"/>
        </w:numPr>
      </w:pPr>
      <w:r>
        <w:rPr>
          <w:bCs/>
          <w:b/>
        </w:rPr>
        <w:t xml:space="preserve">Clear Input Specification:</w:t>
      </w:r>
      <w:r>
        <w:t xml:space="preserve"> </w:t>
      </w:r>
      <w:r>
        <w:t xml:space="preserve">Explicit documentation of which lead is selected for each dataset eliminates ambiguity in multi-lead signal handling</w:t>
      </w:r>
    </w:p>
    <w:p>
      <w:pPr>
        <w:numPr>
          <w:ilvl w:val="0"/>
          <w:numId w:val="1019"/>
        </w:numPr>
      </w:pPr>
      <w:r>
        <w:rPr>
          <w:bCs/>
          <w:b/>
        </w:rPr>
        <w:t xml:space="preserve">Consistent Architecture:</w:t>
      </w:r>
      <w:r>
        <w:t xml:space="preserve"> </w:t>
      </w:r>
      <w:r>
        <w:t xml:space="preserve">Uniform</w:t>
      </w:r>
      <w:r>
        <w:t xml:space="preserve"> </w:t>
      </w:r>
      <m:oMath>
        <m:d>
          <m:dPr>
            <m:begChr m:val="("/>
            <m:endChr m:val=")"/>
            <m:sepChr m:val=""/>
            <m:grow/>
          </m:dPr>
          <m:e>
            <m:r>
              <m:t>b</m:t>
            </m:r>
            <m:r>
              <m:t>a</m:t>
            </m:r>
            <m:r>
              <m:t>t</m:t>
            </m:r>
            <m:r>
              <m:t>c</m:t>
            </m:r>
            <m:r>
              <m:t>h</m:t>
            </m:r>
            <m:r>
              <m:rPr>
                <m:sty m:val="p"/>
              </m:rPr>
              <m:t>,</m:t>
            </m:r>
            <m:r>
              <m:t>3000</m:t>
            </m:r>
            <m:r>
              <m:rPr>
                <m:sty m:val="p"/>
              </m:rPr>
              <m:t>,</m:t>
            </m:r>
            <m:r>
              <m:t>1</m:t>
            </m:r>
          </m:e>
        </m:d>
      </m:oMath>
      <w:r>
        <w:t xml:space="preserve"> </w:t>
      </w:r>
      <w:r>
        <w:t xml:space="preserve">input across all datasets enables architectural consistency and reproducibility</w:t>
      </w:r>
    </w:p>
    <w:p>
      <w:pPr>
        <w:numPr>
          <w:ilvl w:val="0"/>
          <w:numId w:val="1019"/>
        </w:numPr>
      </w:pPr>
      <w:r>
        <w:rPr>
          <w:bCs/>
          <w:b/>
        </w:rPr>
        <w:t xml:space="preserve">Deployment Alignment:</w:t>
      </w:r>
      <w:r>
        <w:t xml:space="preserve"> </w:t>
      </w:r>
      <w:r>
        <w:t xml:space="preserve">Single-lead approach matches portable ECG devices (e.g., AliveCor, handheld monitors) used in resource-limited settings</w:t>
      </w:r>
    </w:p>
    <w:p>
      <w:pPr>
        <w:numPr>
          <w:ilvl w:val="0"/>
          <w:numId w:val="1019"/>
        </w:numPr>
      </w:pPr>
      <w:r>
        <w:rPr>
          <w:bCs/>
          <w:b/>
        </w:rPr>
        <w:t xml:space="preserve">No Data Leakage:</w:t>
      </w:r>
      <w:r>
        <w:t xml:space="preserve"> </w:t>
      </w:r>
      <w:r>
        <w:t xml:space="preserve">Patient-level splitting ensures true generalization performance assessment</w:t>
      </w:r>
    </w:p>
    <w:bookmarkEnd w:id="75"/>
    <w:bookmarkStart w:id="76" w:name="clinical-implications"/>
    <w:p>
      <w:pPr>
        <w:pStyle w:val="Heading2"/>
      </w:pPr>
      <w:r>
        <w:t xml:space="preserve">Clinical Implications</w:t>
      </w:r>
    </w:p>
    <w:p>
      <w:pPr>
        <w:pStyle w:val="FirstParagraph"/>
      </w:pPr>
      <w:r>
        <w:t xml:space="preserve">The system’s ability to generate natural language interpretations represents a significant advancement in making AI-assisted diagnostics accessible to non-specialist healthcare workers. The GPT-4 generated reports provide context-appropriate explanations that bridge the gap between technical classifications and clinical understanding, with superior medical knowledge compared to earlier language models.</w:t>
      </w:r>
    </w:p>
    <w:p>
      <w:pPr>
        <w:pStyle w:val="BodyText"/>
      </w:pPr>
      <w:r>
        <w:t xml:space="preserve">Field deployment considerations include:</w:t>
      </w:r>
    </w:p>
    <w:p>
      <w:pPr>
        <w:numPr>
          <w:ilvl w:val="0"/>
          <w:numId w:val="1020"/>
        </w:numPr>
      </w:pPr>
      <w:r>
        <w:rPr>
          <w:bCs/>
          <w:b/>
        </w:rPr>
        <w:t xml:space="preserve">Connectivity Requirements:</w:t>
      </w:r>
      <w:r>
        <w:t xml:space="preserve"> </w:t>
      </w:r>
      <w:r>
        <w:t xml:space="preserve">The cloud-based architecture requires reliable internet connectivity, which may be challenging in some remote regions</w:t>
      </w:r>
    </w:p>
    <w:p>
      <w:pPr>
        <w:numPr>
          <w:ilvl w:val="0"/>
          <w:numId w:val="1020"/>
        </w:numPr>
      </w:pPr>
      <w:r>
        <w:rPr>
          <w:bCs/>
          <w:b/>
        </w:rPr>
        <w:t xml:space="preserve">Regulatory Compliance:</w:t>
      </w:r>
      <w:r>
        <w:t xml:space="preserve"> </w:t>
      </w:r>
      <w:r>
        <w:t xml:space="preserve">Medical device regulations vary by jurisdiction and must be addressed before clinical deployment</w:t>
      </w:r>
    </w:p>
    <w:p>
      <w:pPr>
        <w:numPr>
          <w:ilvl w:val="0"/>
          <w:numId w:val="1020"/>
        </w:numPr>
      </w:pPr>
      <w:r>
        <w:rPr>
          <w:bCs/>
          <w:b/>
        </w:rPr>
        <w:t xml:space="preserve">Continuous Learning:</w:t>
      </w:r>
      <w:r>
        <w:t xml:space="preserve"> </w:t>
      </w:r>
      <w:r>
        <w:t xml:space="preserve">The feedback mechanism enables model improvement based on real-world usage patterns</w:t>
      </w:r>
    </w:p>
    <w:bookmarkEnd w:id="76"/>
    <w:bookmarkStart w:id="77" w:name="limitations-and-future-work"/>
    <w:p>
      <w:pPr>
        <w:pStyle w:val="Heading2"/>
      </w:pPr>
      <w:r>
        <w:t xml:space="preserve">Limitations and Future Work</w:t>
      </w:r>
    </w:p>
    <w:p>
      <w:pPr>
        <w:pStyle w:val="FirstParagraph"/>
      </w:pPr>
      <w:r>
        <w:t xml:space="preserve">Despite promising results, several limitations warrant consideration:</w:t>
      </w:r>
    </w:p>
    <w:p>
      <w:pPr>
        <w:numPr>
          <w:ilvl w:val="0"/>
          <w:numId w:val="1021"/>
        </w:numPr>
      </w:pPr>
      <w:r>
        <w:rPr>
          <w:bCs/>
          <w:b/>
        </w:rPr>
        <w:t xml:space="preserve">Scope of Validation:</w:t>
      </w:r>
      <w:r>
        <w:t xml:space="preserve"> </w:t>
      </w:r>
      <w:r>
        <w:t xml:space="preserve">This work presents a technical proof-of-concept validated exclusively on retrospective public datasets. The system has</w:t>
      </w:r>
      <w:r>
        <w:t xml:space="preserve"> </w:t>
      </w:r>
      <w:r>
        <w:rPr>
          <w:bCs/>
          <w:b/>
        </w:rPr>
        <w:t xml:space="preserve">not been deployed in clinical settings</w:t>
      </w:r>
      <w:r>
        <w:t xml:space="preserve"> </w:t>
      </w:r>
      <w:r>
        <w:t xml:space="preserve">or validated through prospective real-world studies. Clinical utility, workflow integration, and patient outcome improvements remain unvalidated.</w:t>
      </w:r>
    </w:p>
    <w:p>
      <w:pPr>
        <w:numPr>
          <w:ilvl w:val="0"/>
          <w:numId w:val="1021"/>
        </w:numPr>
      </w:pPr>
      <w:r>
        <w:rPr>
          <w:bCs/>
          <w:b/>
        </w:rPr>
        <w:t xml:space="preserve">Single-Label Limitation:</w:t>
      </w:r>
      <w:r>
        <w:t xml:space="preserve"> </w:t>
      </w:r>
      <w:r>
        <w:t xml:space="preserve">Our focus on single-label classification tasks excludes multi-label datasets (PTB-XL, Chapman-Shaoxing) where patients may have multiple concurrent diagnoses. Extension to multi-label classification would require architectural modifications (sigmoid activation, binary cross-entropy loss) and different evaluation frameworks.</w:t>
      </w:r>
    </w:p>
    <w:p>
      <w:pPr>
        <w:numPr>
          <w:ilvl w:val="0"/>
          <w:numId w:val="1021"/>
        </w:numPr>
      </w:pPr>
      <w:r>
        <w:rPr>
          <w:bCs/>
          <w:b/>
        </w:rPr>
        <w:t xml:space="preserve">Single-Lead Limitation:</w:t>
      </w:r>
      <w:r>
        <w:t xml:space="preserve"> </w:t>
      </w:r>
      <w:r>
        <w:t xml:space="preserve">While appropriate for point-of-care devices, the single-lead approach may miss diagnostic information available in multi-lead ECG recordings (e.g., localization of myocardial infarction requires multiple leads). Future work could explore lead fusion strategies while maintaining deployment feasibility.</w:t>
      </w:r>
    </w:p>
    <w:p>
      <w:pPr>
        <w:numPr>
          <w:ilvl w:val="0"/>
          <w:numId w:val="1021"/>
        </w:numPr>
      </w:pPr>
      <w:r>
        <w:rPr>
          <w:bCs/>
          <w:b/>
        </w:rPr>
        <w:t xml:space="preserve">Dataset Bias:</w:t>
      </w:r>
      <w:r>
        <w:t xml:space="preserve"> </w:t>
      </w:r>
      <w:r>
        <w:t xml:space="preserve">The training datasets predominantly represent Western populations, potentially limiting generalizability to diverse ethnic groups and geographic regions.</w:t>
      </w:r>
    </w:p>
    <w:p>
      <w:pPr>
        <w:numPr>
          <w:ilvl w:val="0"/>
          <w:numId w:val="1021"/>
        </w:numPr>
      </w:pPr>
      <w:r>
        <w:rPr>
          <w:bCs/>
          <w:b/>
        </w:rPr>
        <w:t xml:space="preserve">Computational Resources:</w:t>
      </w:r>
      <w:r>
        <w:t xml:space="preserve"> </w:t>
      </w:r>
      <w:r>
        <w:t xml:space="preserve">While optimized for efficiency, the cloud-based GPT-4 integration requires reliable internet connectivity and incurs API costs, which may be challenging in resource-constrained settings.</w:t>
      </w:r>
    </w:p>
    <w:p>
      <w:pPr>
        <w:numPr>
          <w:ilvl w:val="0"/>
          <w:numId w:val="1021"/>
        </w:numPr>
      </w:pPr>
      <w:r>
        <w:rPr>
          <w:bCs/>
          <w:b/>
        </w:rPr>
        <w:t xml:space="preserve">Limited Dataset Diversity:</w:t>
      </w:r>
      <w:r>
        <w:t xml:space="preserve"> </w:t>
      </w:r>
      <w:r>
        <w:t xml:space="preserve">Evaluation on three datasets, while methodologically rigorous, represents a limited sample of possible diagnostic tasks. Broader validation across additional signal types and pathologies is needed.</w:t>
      </w:r>
    </w:p>
    <w:p>
      <w:pPr>
        <w:pStyle w:val="FirstParagraph"/>
      </w:pPr>
      <w:r>
        <w:rPr>
          <w:bCs/>
          <w:b/>
        </w:rPr>
        <w:t xml:space="preserve">Path to Clinical Translation:</w:t>
      </w:r>
    </w:p>
    <w:p>
      <w:pPr>
        <w:pStyle w:val="BodyText"/>
      </w:pPr>
      <w:r>
        <w:t xml:space="preserve">To translate this technical framework into a deployable clinical tool, we propose:</w:t>
      </w:r>
    </w:p>
    <w:p>
      <w:pPr>
        <w:numPr>
          <w:ilvl w:val="0"/>
          <w:numId w:val="1022"/>
        </w:numPr>
      </w:pPr>
      <w:r>
        <w:rPr>
          <w:bCs/>
          <w:b/>
        </w:rPr>
        <w:t xml:space="preserve">Prospective Clinical Pilots:</w:t>
      </w:r>
      <w:r>
        <w:t xml:space="preserve"> </w:t>
      </w:r>
      <w:r>
        <w:t xml:space="preserve">IRB-approved studies with real-time signal acquisition and clinician-in-the-loop evaluation at partner healthcare institutions</w:t>
      </w:r>
    </w:p>
    <w:p>
      <w:pPr>
        <w:numPr>
          <w:ilvl w:val="0"/>
          <w:numId w:val="1022"/>
        </w:numPr>
      </w:pPr>
      <w:r>
        <w:rPr>
          <w:bCs/>
          <w:b/>
        </w:rPr>
        <w:t xml:space="preserve">Field Deployment Studies:</w:t>
      </w:r>
      <w:r>
        <w:t xml:space="preserve"> </w:t>
      </w:r>
      <w:r>
        <w:t xml:space="preserve">Randomized controlled trials in underserved regions comparing diagnostic accuracy and patient outcomes with/without AI assistance</w:t>
      </w:r>
    </w:p>
    <w:p>
      <w:pPr>
        <w:numPr>
          <w:ilvl w:val="0"/>
          <w:numId w:val="1022"/>
        </w:numPr>
      </w:pPr>
      <w:r>
        <w:rPr>
          <w:bCs/>
          <w:b/>
        </w:rPr>
        <w:t xml:space="preserve">Regulatory Compliance:</w:t>
      </w:r>
      <w:r>
        <w:t xml:space="preserve"> </w:t>
      </w:r>
      <w:r>
        <w:t xml:space="preserve">Medical device regulatory approval (FDA, CE mark) and post-market safety surveillance</w:t>
      </w:r>
    </w:p>
    <w:p>
      <w:pPr>
        <w:numPr>
          <w:ilvl w:val="0"/>
          <w:numId w:val="1022"/>
        </w:numPr>
      </w:pPr>
      <w:r>
        <w:rPr>
          <w:bCs/>
          <w:b/>
        </w:rPr>
        <w:t xml:space="preserve">Usability Testing:</w:t>
      </w:r>
      <w:r>
        <w:t xml:space="preserve"> </w:t>
      </w:r>
      <w:r>
        <w:t xml:space="preserve">Evaluation of system integration into clinical workflows with non-specialist healthcare workers</w:t>
      </w:r>
    </w:p>
    <w:p>
      <w:pPr>
        <w:pStyle w:val="FirstParagraph"/>
      </w:pPr>
      <w:r>
        <w:rPr>
          <w:bCs/>
          <w:b/>
        </w:rPr>
        <w:t xml:space="preserve">Technical Extensions:</w:t>
      </w:r>
    </w:p>
    <w:p>
      <w:pPr>
        <w:pStyle w:val="BodyText"/>
      </w:pPr>
      <w:r>
        <w:t xml:space="preserve">Future research directions include:</w:t>
      </w:r>
    </w:p>
    <w:p>
      <w:pPr>
        <w:numPr>
          <w:ilvl w:val="0"/>
          <w:numId w:val="1023"/>
        </w:numPr>
      </w:pPr>
      <w:r>
        <w:rPr>
          <w:bCs/>
          <w:b/>
        </w:rPr>
        <w:t xml:space="preserve">Multi-Label Extension:</w:t>
      </w:r>
      <w:r>
        <w:t xml:space="preserve"> </w:t>
      </w:r>
      <w:r>
        <w:t xml:space="preserve">Adaptation of architecture for multi-label classification tasks using sigmoid activation and appropriate loss functions</w:t>
      </w:r>
    </w:p>
    <w:p>
      <w:pPr>
        <w:numPr>
          <w:ilvl w:val="0"/>
          <w:numId w:val="1023"/>
        </w:numPr>
      </w:pPr>
      <w:r>
        <w:rPr>
          <w:bCs/>
          <w:b/>
        </w:rPr>
        <w:t xml:space="preserve">Multi-Lead Fusion:</w:t>
      </w:r>
      <w:r>
        <w:t xml:space="preserve"> </w:t>
      </w:r>
      <w:r>
        <w:t xml:space="preserve">Exploration of attention mechanisms or CNN-based fusion for multi-lead signal processing</w:t>
      </w:r>
    </w:p>
    <w:p>
      <w:pPr>
        <w:numPr>
          <w:ilvl w:val="0"/>
          <w:numId w:val="1023"/>
        </w:numPr>
      </w:pPr>
      <w:r>
        <w:rPr>
          <w:bCs/>
          <w:b/>
        </w:rPr>
        <w:t xml:space="preserve">Multimodal Integration:</w:t>
      </w:r>
      <w:r>
        <w:t xml:space="preserve"> </w:t>
      </w:r>
      <w:r>
        <w:t xml:space="preserve">Combining physiological signals with patient demographics, symptoms, and medical history</w:t>
      </w:r>
    </w:p>
    <w:p>
      <w:pPr>
        <w:numPr>
          <w:ilvl w:val="0"/>
          <w:numId w:val="1023"/>
        </w:numPr>
      </w:pPr>
      <w:r>
        <w:rPr>
          <w:bCs/>
          <w:b/>
        </w:rPr>
        <w:t xml:space="preserve">Federated Learning:</w:t>
      </w:r>
      <w:r>
        <w:t xml:space="preserve"> </w:t>
      </w:r>
      <w:r>
        <w:t xml:space="preserve">Privacy-preserving distributed training across multiple healthcare institutions</w:t>
      </w:r>
    </w:p>
    <w:p>
      <w:pPr>
        <w:numPr>
          <w:ilvl w:val="0"/>
          <w:numId w:val="1023"/>
        </w:numPr>
      </w:pPr>
      <w:r>
        <w:rPr>
          <w:bCs/>
          <w:b/>
        </w:rPr>
        <w:t xml:space="preserve">Uncertainty Quantification:</w:t>
      </w:r>
      <w:r>
        <w:t xml:space="preserve"> </w:t>
      </w:r>
      <w:r>
        <w:t xml:space="preserve">Bayesian approaches or ensemble methods to identify cases requiring expert review</w:t>
      </w:r>
    </w:p>
    <w:p>
      <w:pPr>
        <w:numPr>
          <w:ilvl w:val="0"/>
          <w:numId w:val="1023"/>
        </w:numPr>
      </w:pPr>
      <w:r>
        <w:rPr>
          <w:bCs/>
          <w:b/>
        </w:rPr>
        <w:t xml:space="preserve">Edge Deployment:</w:t>
      </w:r>
      <w:r>
        <w:t xml:space="preserve"> </w:t>
      </w:r>
      <w:r>
        <w:t xml:space="preserve">Model compression and quantization for offline operation in connectivity-limited environments</w:t>
      </w:r>
    </w:p>
    <w:bookmarkEnd w:id="77"/>
    <w:bookmarkEnd w:id="78"/>
    <w:bookmarkStart w:id="82" w:name="ethical-considerations"/>
    <w:p>
      <w:pPr>
        <w:pStyle w:val="Heading1"/>
      </w:pPr>
      <w:r>
        <w:t xml:space="preserve">Ethical Considerations</w:t>
      </w:r>
    </w:p>
    <w:p>
      <w:pPr>
        <w:pStyle w:val="FirstParagraph"/>
      </w:pPr>
      <w:r>
        <w:t xml:space="preserve">The deployment of AI-assisted diagnostic systems raises important ethical considerations that must be addressed:</w:t>
      </w:r>
    </w:p>
    <w:bookmarkStart w:id="79" w:name="equity-and-access"/>
    <w:p>
      <w:pPr>
        <w:pStyle w:val="Heading2"/>
      </w:pPr>
      <w:r>
        <w:t xml:space="preserve">Equity and Access</w:t>
      </w:r>
    </w:p>
    <w:p>
      <w:pPr>
        <w:pStyle w:val="FirstParagraph"/>
      </w:pPr>
      <w:r>
        <w:t xml:space="preserve">While the system aims to democratize access to diagnostic capabilities, we acknowledge the risk of exacerbating existing healthcare disparities if deployment is limited to regions with robust technological infrastructure. Efforts must be made to ensure equitable access across all communities.</w:t>
      </w:r>
    </w:p>
    <w:bookmarkEnd w:id="79"/>
    <w:bookmarkStart w:id="80" w:name="privacy-and-data-security"/>
    <w:p>
      <w:pPr>
        <w:pStyle w:val="Heading2"/>
      </w:pPr>
      <w:r>
        <w:t xml:space="preserve">Privacy and Data Security</w:t>
      </w:r>
    </w:p>
    <w:p>
      <w:pPr>
        <w:pStyle w:val="FirstParagraph"/>
      </w:pPr>
      <w:r>
        <w:t xml:space="preserve">The processing of sensitive medical data necessitates robust security measures. The system implements:</w:t>
      </w:r>
    </w:p>
    <w:p>
      <w:pPr>
        <w:numPr>
          <w:ilvl w:val="0"/>
          <w:numId w:val="1024"/>
        </w:numPr>
      </w:pPr>
      <w:r>
        <w:t xml:space="preserve">End-to-end encryption for data transmission</w:t>
      </w:r>
    </w:p>
    <w:p>
      <w:pPr>
        <w:numPr>
          <w:ilvl w:val="0"/>
          <w:numId w:val="1024"/>
        </w:numPr>
      </w:pPr>
      <w:r>
        <w:t xml:space="preserve">Anonymization of patient identifiers</w:t>
      </w:r>
    </w:p>
    <w:p>
      <w:pPr>
        <w:numPr>
          <w:ilvl w:val="0"/>
          <w:numId w:val="1024"/>
        </w:numPr>
      </w:pPr>
      <w:r>
        <w:t xml:space="preserve">Compliance with HIPAA and GDPR regulations</w:t>
      </w:r>
    </w:p>
    <w:p>
      <w:pPr>
        <w:numPr>
          <w:ilvl w:val="0"/>
          <w:numId w:val="1024"/>
        </w:numPr>
      </w:pPr>
      <w:r>
        <w:t xml:space="preserve">Regular security audits and vulnerability assessments</w:t>
      </w:r>
    </w:p>
    <w:bookmarkEnd w:id="80"/>
    <w:bookmarkStart w:id="81" w:name="clinical-responsibility"/>
    <w:p>
      <w:pPr>
        <w:pStyle w:val="Heading2"/>
      </w:pPr>
      <w:r>
        <w:t xml:space="preserve">Clinical Responsibility</w:t>
      </w:r>
    </w:p>
    <w:p>
      <w:pPr>
        <w:pStyle w:val="FirstParagraph"/>
      </w:pPr>
      <w:r>
        <w:t xml:space="preserve">The system is designed as a decision support tool rather than a replacement for clinical judgment. Clear guidelines must establish:</w:t>
      </w:r>
    </w:p>
    <w:p>
      <w:pPr>
        <w:numPr>
          <w:ilvl w:val="0"/>
          <w:numId w:val="1025"/>
        </w:numPr>
      </w:pPr>
      <w:r>
        <w:t xml:space="preserve">Scope of practice for non-specialist users</w:t>
      </w:r>
    </w:p>
    <w:p>
      <w:pPr>
        <w:numPr>
          <w:ilvl w:val="0"/>
          <w:numId w:val="1025"/>
        </w:numPr>
      </w:pPr>
      <w:r>
        <w:t xml:space="preserve">Escalation protocols for critical findings</w:t>
      </w:r>
    </w:p>
    <w:p>
      <w:pPr>
        <w:numPr>
          <w:ilvl w:val="0"/>
          <w:numId w:val="1025"/>
        </w:numPr>
      </w:pPr>
      <w:r>
        <w:t xml:space="preserve">Documentation requirements for AI-assisted diagnoses</w:t>
      </w:r>
    </w:p>
    <w:p>
      <w:pPr>
        <w:numPr>
          <w:ilvl w:val="0"/>
          <w:numId w:val="1025"/>
        </w:numPr>
      </w:pPr>
      <w:r>
        <w:t xml:space="preserve">Liability frameworks for AI-mediated healthcare delivery</w:t>
      </w:r>
    </w:p>
    <w:bookmarkEnd w:id="81"/>
    <w:bookmarkEnd w:id="82"/>
    <w:bookmarkStart w:id="83" w:name="conclusion"/>
    <w:p>
      <w:pPr>
        <w:pStyle w:val="Heading1"/>
      </w:pPr>
      <w:r>
        <w:t xml:space="preserve">Conclusion</w:t>
      </w:r>
    </w:p>
    <w:p>
      <w:pPr>
        <w:pStyle w:val="FirstParagraph"/>
      </w:pPr>
      <w:r>
        <w:t xml:space="preserve">This paper presents a comprehensive technical framework integrating Large Language Models with biomedical signal processing, designed for eventual deployment in underserved communities to support remote diagnostic capabilities. Our proof-of-concept demonstrates methodologically rigorous performance across multiple signal modalities with clear architectural transparency.</w:t>
      </w:r>
    </w:p>
    <w:p>
      <w:pPr>
        <w:pStyle w:val="BodyText"/>
      </w:pPr>
      <w:r>
        <w:rPr>
          <w:bCs/>
          <w:b/>
        </w:rPr>
        <w:t xml:space="preserve">Key Technical Contributions:</w:t>
      </w:r>
    </w:p>
    <w:p>
      <w:pPr>
        <w:numPr>
          <w:ilvl w:val="0"/>
          <w:numId w:val="1026"/>
        </w:numPr>
      </w:pPr>
      <w:r>
        <w:rPr>
          <w:bCs/>
          <w:b/>
        </w:rPr>
        <w:t xml:space="preserve">Single-Lead Selection Strategy:</w:t>
      </w:r>
      <w:r>
        <w:t xml:space="preserve"> </w:t>
      </w:r>
      <w:r>
        <w:t xml:space="preserve">Explicit methodology for selecting clinically relevant leads from multi-lead recordings, ensuring consistent</w:t>
      </w:r>
      <w:r>
        <w:t xml:space="preserve"> </w:t>
      </w:r>
      <m:oMath>
        <m:d>
          <m:dPr>
            <m:begChr m:val="("/>
            <m:endChr m:val=")"/>
            <m:sepChr m:val=""/>
            <m:grow/>
          </m:dPr>
          <m:e>
            <m:r>
              <m:t>b</m:t>
            </m:r>
            <m:r>
              <m:t>a</m:t>
            </m:r>
            <m:r>
              <m:t>t</m:t>
            </m:r>
            <m:r>
              <m:t>c</m:t>
            </m:r>
            <m:r>
              <m:t>h</m:t>
            </m:r>
            <m:r>
              <m:rPr>
                <m:sty m:val="p"/>
              </m:rPr>
              <m:t>,</m:t>
            </m:r>
            <m:r>
              <m:t>3000</m:t>
            </m:r>
            <m:r>
              <m:rPr>
                <m:sty m:val="p"/>
              </m:rPr>
              <m:t>,</m:t>
            </m:r>
            <m:r>
              <m:t>1</m:t>
            </m:r>
          </m:e>
        </m:d>
      </m:oMath>
      <w:r>
        <w:t xml:space="preserve"> </w:t>
      </w:r>
      <w:r>
        <w:t xml:space="preserve">input dimensionality and alignment with point-of-care devices</w:t>
      </w:r>
    </w:p>
    <w:p>
      <w:pPr>
        <w:numPr>
          <w:ilvl w:val="0"/>
          <w:numId w:val="1026"/>
        </w:numPr>
      </w:pPr>
      <w:r>
        <w:rPr>
          <w:bCs/>
          <w:b/>
        </w:rPr>
        <w:t xml:space="preserve">Single-Label Formulation:</w:t>
      </w:r>
      <w:r>
        <w:t xml:space="preserve"> </w:t>
      </w:r>
      <w:r>
        <w:t xml:space="preserve">Clear focus on mutually exclusive classification tasks with softmax activation, appropriate for primary diagnosis identification in resource-limited settings</w:t>
      </w:r>
    </w:p>
    <w:p>
      <w:pPr>
        <w:numPr>
          <w:ilvl w:val="0"/>
          <w:numId w:val="1026"/>
        </w:numPr>
      </w:pPr>
      <w:r>
        <w:rPr>
          <w:bCs/>
          <w:b/>
        </w:rPr>
        <w:t xml:space="preserve">Patient-Level Data Splitting:</w:t>
      </w:r>
      <w:r>
        <w:t xml:space="preserve"> </w:t>
      </w:r>
      <w:r>
        <w:t xml:space="preserve">Rigorous prevention of data leakage to ensure true generalization performance assessment</w:t>
      </w:r>
    </w:p>
    <w:p>
      <w:pPr>
        <w:numPr>
          <w:ilvl w:val="0"/>
          <w:numId w:val="1026"/>
        </w:numPr>
      </w:pPr>
      <w:r>
        <w:rPr>
          <w:bCs/>
          <w:b/>
        </w:rPr>
        <w:t xml:space="preserve">Robust Classification Performance:</w:t>
      </w:r>
      <w:r>
        <w:t xml:space="preserve"> </w:t>
      </w:r>
      <w:r>
        <w:t xml:space="preserve">Accuracies of 92.3% (MIT-BIH arrhythmia), 87.3% (Sleep-EDF staging), and 89.5% (MIMIC-III waveforms) on held-out test sets</w:t>
      </w:r>
    </w:p>
    <w:p>
      <w:pPr>
        <w:numPr>
          <w:ilvl w:val="0"/>
          <w:numId w:val="1026"/>
        </w:numPr>
      </w:pPr>
      <w:r>
        <w:rPr>
          <w:bCs/>
          <w:b/>
        </w:rPr>
        <w:t xml:space="preserve">GPT-4 Integration:</w:t>
      </w:r>
      <w:r>
        <w:t xml:space="preserve"> </w:t>
      </w:r>
      <w:r>
        <w:t xml:space="preserve">Natural language interpretation achieving high clinical accuracy and clarity ratings from expert reviewers</w:t>
      </w:r>
    </w:p>
    <w:p>
      <w:pPr>
        <w:numPr>
          <w:ilvl w:val="0"/>
          <w:numId w:val="1026"/>
        </w:numPr>
      </w:pPr>
      <w:r>
        <w:rPr>
          <w:bCs/>
          <w:b/>
        </w:rPr>
        <w:t xml:space="preserve">Open-Source Implementation:</w:t>
      </w:r>
      <w:r>
        <w:t xml:space="preserve"> </w:t>
      </w:r>
      <w:r>
        <w:t xml:space="preserve">Publicly available codebase with REST API for community validation and extension</w:t>
      </w:r>
    </w:p>
    <w:p>
      <w:pPr>
        <w:pStyle w:val="FirstParagraph"/>
      </w:pPr>
      <w:r>
        <w:rPr>
          <w:bCs/>
          <w:b/>
        </w:rPr>
        <w:t xml:space="preserve">Methodological Transparency:</w:t>
      </w:r>
    </w:p>
    <w:p>
      <w:pPr>
        <w:pStyle w:val="BodyText"/>
      </w:pPr>
      <w:r>
        <w:t xml:space="preserve">This work addresses critical ambiguities in previous biomedical signal processing research by explicitly documenting:</w:t>
      </w:r>
    </w:p>
    <w:p>
      <w:pPr>
        <w:numPr>
          <w:ilvl w:val="0"/>
          <w:numId w:val="1027"/>
        </w:numPr>
      </w:pPr>
      <w:r>
        <w:t xml:space="preserve">Which lead is selected from multi-lead recordings (Table II)</w:t>
      </w:r>
    </w:p>
    <w:p>
      <w:pPr>
        <w:numPr>
          <w:ilvl w:val="0"/>
          <w:numId w:val="1027"/>
        </w:numPr>
      </w:pPr>
      <w:r>
        <w:t xml:space="preserve">How single-label vs. multi-label datasets are handled (Section III.B.1)</w:t>
      </w:r>
    </w:p>
    <w:p>
      <w:pPr>
        <w:numPr>
          <w:ilvl w:val="0"/>
          <w:numId w:val="1027"/>
        </w:numPr>
      </w:pPr>
      <w:r>
        <w:t xml:space="preserve">Patient-level data splitting to prevent leakage (Section III.C)</w:t>
      </w:r>
    </w:p>
    <w:p>
      <w:pPr>
        <w:numPr>
          <w:ilvl w:val="0"/>
          <w:numId w:val="1027"/>
        </w:numPr>
      </w:pPr>
      <w:r>
        <w:t xml:space="preserve">Input/output specifications:</w:t>
      </w:r>
      <w:r>
        <w:t xml:space="preserve"> </w:t>
      </w:r>
      <m:oMath>
        <m:d>
          <m:dPr>
            <m:begChr m:val="("/>
            <m:endChr m:val=")"/>
            <m:sepChr m:val=""/>
            <m:grow/>
          </m:dPr>
          <m:e>
            <m:r>
              <m:t>b</m:t>
            </m:r>
            <m:r>
              <m:t>a</m:t>
            </m:r>
            <m:r>
              <m:t>t</m:t>
            </m:r>
            <m:r>
              <m:t>c</m:t>
            </m:r>
            <m:r>
              <m:t>h</m:t>
            </m:r>
            <m:r>
              <m:rPr>
                <m:sty m:val="p"/>
              </m:rPr>
              <m:t>,</m:t>
            </m:r>
            <m:r>
              <m:t>3000</m:t>
            </m:r>
            <m:r>
              <m:rPr>
                <m:sty m:val="p"/>
              </m:rPr>
              <m:t>,</m:t>
            </m:r>
            <m:r>
              <m:t>1</m:t>
            </m:r>
          </m:e>
        </m:d>
        <m:r>
          <m:rPr>
            <m:sty m:val="p"/>
          </m:rPr>
          <m:t>→</m:t>
        </m:r>
        <m:r>
          <m:t>s</m:t>
        </m:r>
        <m:r>
          <m:t>o</m:t>
        </m:r>
        <m:r>
          <m:t>f</m:t>
        </m:r>
        <m:r>
          <m:t>t</m:t>
        </m:r>
        <m:r>
          <m:t>m</m:t>
        </m:r>
        <m:r>
          <m:t>a</m:t>
        </m:r>
        <m:r>
          <m:t>x</m:t>
        </m:r>
        <m:d>
          <m:dPr>
            <m:begChr m:val="("/>
            <m:endChr m:val=")"/>
            <m:sepChr m:val=""/>
            <m:grow/>
          </m:dPr>
          <m:e>
            <m:r>
              <m:t>C</m:t>
            </m:r>
          </m:e>
        </m:d>
      </m:oMath>
    </w:p>
    <w:p>
      <w:pPr>
        <w:pStyle w:val="FirstParagraph"/>
      </w:pPr>
      <w:r>
        <w:rPr>
          <w:bCs/>
          <w:b/>
        </w:rPr>
        <w:t xml:space="preserve">Scope and Future Validation:</w:t>
      </w:r>
    </w:p>
    <w:p>
      <w:pPr>
        <w:pStyle w:val="BodyText"/>
      </w:pPr>
      <w:r>
        <w:t xml:space="preserve">We emphasize that this work represents a</w:t>
      </w:r>
      <w:r>
        <w:t xml:space="preserve"> </w:t>
      </w:r>
      <w:r>
        <w:rPr>
          <w:bCs/>
          <w:b/>
        </w:rPr>
        <w:t xml:space="preserve">technical proof-of-concept</w:t>
      </w:r>
      <w:r>
        <w:t xml:space="preserve"> </w:t>
      </w:r>
      <w:r>
        <w:t xml:space="preserve">requiring substantial additional validation before clinical deployment:</w:t>
      </w:r>
    </w:p>
    <w:p>
      <w:pPr>
        <w:numPr>
          <w:ilvl w:val="0"/>
          <w:numId w:val="1028"/>
        </w:numPr>
      </w:pPr>
      <w:r>
        <w:rPr>
          <w:bCs/>
          <w:b/>
        </w:rPr>
        <w:t xml:space="preserve">Current Validation:</w:t>
      </w:r>
      <w:r>
        <w:t xml:space="preserve"> </w:t>
      </w:r>
      <w:r>
        <w:t xml:space="preserve">Retrospective offline evaluation on public datasets</w:t>
      </w:r>
    </w:p>
    <w:p>
      <w:pPr>
        <w:numPr>
          <w:ilvl w:val="0"/>
          <w:numId w:val="1028"/>
        </w:numPr>
      </w:pPr>
      <w:r>
        <w:rPr>
          <w:bCs/>
          <w:b/>
        </w:rPr>
        <w:t xml:space="preserve">Not Yet Validated:</w:t>
      </w:r>
      <w:r>
        <w:t xml:space="preserve"> </w:t>
      </w:r>
      <w:r>
        <w:t xml:space="preserve">Prospective clinical deployment, real-world workflow integration, patient outcome improvements</w:t>
      </w:r>
    </w:p>
    <w:p>
      <w:pPr>
        <w:numPr>
          <w:ilvl w:val="0"/>
          <w:numId w:val="1028"/>
        </w:numPr>
      </w:pPr>
      <w:r>
        <w:rPr>
          <w:bCs/>
          <w:b/>
        </w:rPr>
        <w:t xml:space="preserve">Next Steps:</w:t>
      </w:r>
      <w:r>
        <w:t xml:space="preserve"> </w:t>
      </w:r>
      <w:r>
        <w:t xml:space="preserve">IRB-approved clinical pilots, field deployment studies in target regions, regulatory compliance, usability testing with non-specialist healthcare workers</w:t>
      </w:r>
    </w:p>
    <w:p>
      <w:pPr>
        <w:pStyle w:val="FirstParagraph"/>
      </w:pPr>
      <w:r>
        <w:t xml:space="preserve">Despite these limitations, this framework provides a necessary technical foundation for future clinical validation. By combining rigorous signal processing, deep learning with documented architecture, and natural language generation, we contribute a transparent, reproducible baseline for AI-assisted diagnostics research.</w:t>
      </w:r>
    </w:p>
    <w:p>
      <w:pPr>
        <w:pStyle w:val="BodyText"/>
      </w:pPr>
      <w:r>
        <w:t xml:space="preserve">As AI technologies continue to evolve, methodologically rigorous systems like ours—with clear documentation of input handling, label formulation, and validation methodology—will facilitate meaningful clinical translation and ultimately play an important role in reducing healthcare disparities globally.</w:t>
      </w:r>
    </w:p>
    <w:bookmarkEnd w:id="83"/>
    <w:bookmarkStart w:id="84" w:name="acknowledgment"/>
    <w:p>
      <w:pPr>
        <w:pStyle w:val="Heading1"/>
      </w:pPr>
      <w:r>
        <w:t xml:space="preserve">Acknowledgment</w:t>
      </w:r>
    </w:p>
    <w:p>
      <w:pPr>
        <w:pStyle w:val="FirstParagraph"/>
      </w:pPr>
      <w:r>
        <w:t xml:space="preserve">The authors thank the PhysioNet team for providing access to the biomedical signal databases used in this research. We also acknowledge the computational resources provided by our institution’s high-performance computing facility.</w:t>
      </w:r>
    </w:p>
    <w:p>
      <w:pPr>
        <w:pStyle w:val="BodyText"/>
      </w:pPr>
      <w:r>
        <w:t xml:space="preserve">99</w:t>
      </w:r>
    </w:p>
    <w:p>
      <w:pPr>
        <w:pStyle w:val="BodyText"/>
      </w:pPr>
      <w:r>
        <w:t xml:space="preserve">World Health Organization,</w:t>
      </w:r>
      <w:r>
        <w:t xml:space="preserve"> </w:t>
      </w:r>
      <w:r>
        <w:t xml:space="preserve">“</w:t>
      </w:r>
      <w:r>
        <w:t xml:space="preserve">Universal health coverage (UHC),</w:t>
      </w:r>
      <w:r>
        <w:t xml:space="preserve">”</w:t>
      </w:r>
      <w:r>
        <w:t xml:space="preserve"> </w:t>
      </w:r>
      <w:r>
        <w:t xml:space="preserve">WHO Fact Sheets, 2021. [Online]. Available: https://www.who.int/news-room/fact-sheets/detail/universal-health-coverage-(uhc)</w:t>
      </w:r>
    </w:p>
    <w:p>
      <w:pPr>
        <w:pStyle w:val="BodyText"/>
      </w:pPr>
      <w:r>
        <w:t xml:space="preserve">World Health Organization,</w:t>
      </w:r>
      <w:r>
        <w:t xml:space="preserve"> </w:t>
      </w:r>
      <w:r>
        <w:t xml:space="preserve">“</w:t>
      </w:r>
      <w:r>
        <w:t xml:space="preserve">Global Health Observatory data repository,</w:t>
      </w:r>
      <w:r>
        <w:t xml:space="preserve">”</w:t>
      </w:r>
      <w:r>
        <w:t xml:space="preserve"> </w:t>
      </w:r>
      <w:r>
        <w:t xml:space="preserve">2022. [Online]. Available: https://www.who.int/data/gho</w:t>
      </w:r>
    </w:p>
    <w:p>
      <w:pPr>
        <w:pStyle w:val="BodyText"/>
      </w:pPr>
      <w:r>
        <w:t xml:space="preserve">S. Mendis, P. Puska, and B. Norrving,</w:t>
      </w:r>
      <w:r>
        <w:t xml:space="preserve"> </w:t>
      </w:r>
      <w:r>
        <w:t xml:space="preserve">“</w:t>
      </w:r>
      <w:r>
        <w:t xml:space="preserve">Global atlas on cardiovascular disease prevention and control,</w:t>
      </w:r>
      <w:r>
        <w:t xml:space="preserve">”</w:t>
      </w:r>
      <w:r>
        <w:t xml:space="preserve"> </w:t>
      </w:r>
      <w:r>
        <w:t xml:space="preserve">World Health Organization, Geneva, 2015.</w:t>
      </w:r>
    </w:p>
    <w:p>
      <w:pPr>
        <w:pStyle w:val="BodyText"/>
      </w:pPr>
      <w:r>
        <w:t xml:space="preserve">R. M. Rangayyan,</w:t>
      </w:r>
      <w:r>
        <w:t xml:space="preserve"> </w:t>
      </w:r>
      <w:r>
        <w:rPr>
          <w:iCs/>
          <w:i/>
        </w:rPr>
        <w:t xml:space="preserve">Biomedical Signal Analysis</w:t>
      </w:r>
      <w:r>
        <w:t xml:space="preserve">, 2nd ed. Hoboken, NJ: Wiley-IEEE Press, 2015.</w:t>
      </w:r>
    </w:p>
    <w:p>
      <w:pPr>
        <w:pStyle w:val="BodyText"/>
      </w:pPr>
      <w:r>
        <w:t xml:space="preserve">J. Pan and W. J. Tompkins,</w:t>
      </w:r>
      <w:r>
        <w:t xml:space="preserve"> </w:t>
      </w:r>
      <w:r>
        <w:t xml:space="preserve">“</w:t>
      </w:r>
      <w:r>
        <w:t xml:space="preserve">A real-time QRS detection algorithm,</w:t>
      </w:r>
      <w:r>
        <w:t xml:space="preserve">”</w:t>
      </w:r>
      <w:r>
        <w:t xml:space="preserve"> </w:t>
      </w:r>
      <w:r>
        <w:rPr>
          <w:iCs/>
          <w:i/>
        </w:rPr>
        <w:t xml:space="preserve">IEEE Trans. Biomed. Eng.</w:t>
      </w:r>
      <w:r>
        <w:t xml:space="preserve">, vol. BME-32, no. 3, pp. 230–236, Mar. 1985.</w:t>
      </w:r>
    </w:p>
    <w:p>
      <w:pPr>
        <w:pStyle w:val="BodyText"/>
      </w:pPr>
      <w:r>
        <w:t xml:space="preserve">E. Niedermeyer and F. L. da Silva,</w:t>
      </w:r>
      <w:r>
        <w:t xml:space="preserve"> </w:t>
      </w:r>
      <w:r>
        <w:rPr>
          <w:iCs/>
          <w:i/>
        </w:rPr>
        <w:t xml:space="preserve">Electroencephalography: Basic Principles, Clinical Applications, and Related Fields</w:t>
      </w:r>
      <w:r>
        <w:t xml:space="preserve">, 5th ed. Philadelphia: Lippincott Williams &amp; Wilkins, 2005.</w:t>
      </w:r>
    </w:p>
    <w:p>
      <w:pPr>
        <w:pStyle w:val="BodyText"/>
      </w:pPr>
      <w:r>
        <w:t xml:space="preserve">A. Rechtschaffen and A. Kales,</w:t>
      </w:r>
      <w:r>
        <w:t xml:space="preserve"> </w:t>
      </w:r>
      <w:r>
        <w:t xml:space="preserve">“</w:t>
      </w:r>
      <w:r>
        <w:t xml:space="preserve">A manual of standardized terminology, techniques and scoring system for sleep stages of human subjects,</w:t>
      </w:r>
      <w:r>
        <w:t xml:space="preserve">”</w:t>
      </w:r>
      <w:r>
        <w:t xml:space="preserve"> </w:t>
      </w:r>
      <w:r>
        <w:rPr>
          <w:iCs/>
          <w:i/>
        </w:rPr>
        <w:t xml:space="preserve">Brain Information Service</w:t>
      </w:r>
      <w:r>
        <w:t xml:space="preserve">, UCLA, Los Angeles, 1968.</w:t>
      </w:r>
    </w:p>
    <w:p>
      <w:pPr>
        <w:pStyle w:val="BodyText"/>
      </w:pPr>
      <w:r>
        <w:t xml:space="preserve">A. Y. Hannun et al.,</w:t>
      </w:r>
      <w:r>
        <w:t xml:space="preserve"> </w:t>
      </w:r>
      <w:r>
        <w:t xml:space="preserve">“</w:t>
      </w:r>
      <w:r>
        <w:t xml:space="preserve">Cardiologist-level arrhythmia detection and classification in ambulatory electrocardiograms using a deep neural network,</w:t>
      </w:r>
      <w:r>
        <w:t xml:space="preserve">”</w:t>
      </w:r>
      <w:r>
        <w:t xml:space="preserve"> </w:t>
      </w:r>
      <w:r>
        <w:rPr>
          <w:iCs/>
          <w:i/>
        </w:rPr>
        <w:t xml:space="preserve">Nature Medicine</w:t>
      </w:r>
      <w:r>
        <w:t xml:space="preserve">, vol. 25, no. 1, pp. 65–69, 2019.</w:t>
      </w:r>
    </w:p>
    <w:p>
      <w:pPr>
        <w:pStyle w:val="BodyText"/>
      </w:pPr>
      <w:r>
        <w:t xml:space="preserve">S. Hochreiter and J. Schmidhuber,</w:t>
      </w:r>
      <w:r>
        <w:t xml:space="preserve"> </w:t>
      </w:r>
      <w:r>
        <w:t xml:space="preserve">“</w:t>
      </w:r>
      <w:r>
        <w:t xml:space="preserve">Long short-term memory,</w:t>
      </w:r>
      <w:r>
        <w:t xml:space="preserve">”</w:t>
      </w:r>
      <w:r>
        <w:t xml:space="preserve"> </w:t>
      </w:r>
      <w:r>
        <w:rPr>
          <w:iCs/>
          <w:i/>
        </w:rPr>
        <w:t xml:space="preserve">Neural Computation</w:t>
      </w:r>
      <w:r>
        <w:t xml:space="preserve">, vol. 9, no. 8, pp. 1735–1780, 1997.</w:t>
      </w:r>
    </w:p>
    <w:p>
      <w:pPr>
        <w:pStyle w:val="BodyText"/>
      </w:pPr>
      <w:r>
        <w:t xml:space="preserve">A. Natarajan et al.,</w:t>
      </w:r>
      <w:r>
        <w:t xml:space="preserve"> </w:t>
      </w:r>
      <w:r>
        <w:t xml:space="preserve">“</w:t>
      </w:r>
      <w:r>
        <w:t xml:space="preserve">A wide and deep transformer neural network for 12-lead ECG classification,</w:t>
      </w:r>
      <w:r>
        <w:t xml:space="preserve">”</w:t>
      </w:r>
      <w:r>
        <w:t xml:space="preserve"> </w:t>
      </w:r>
      <w:r>
        <w:t xml:space="preserve">in</w:t>
      </w:r>
      <w:r>
        <w:t xml:space="preserve"> </w:t>
      </w:r>
      <w:r>
        <w:rPr>
          <w:iCs/>
          <w:i/>
        </w:rPr>
        <w:t xml:space="preserve">Computing in Cardiology</w:t>
      </w:r>
      <w:r>
        <w:t xml:space="preserve">, 2020, pp. 1–4.</w:t>
      </w:r>
    </w:p>
    <w:p>
      <w:pPr>
        <w:pStyle w:val="BodyText"/>
      </w:pPr>
      <w:r>
        <w:t xml:space="preserve">T. Brown et al.,</w:t>
      </w:r>
      <w:r>
        <w:t xml:space="preserve"> </w:t>
      </w:r>
      <w:r>
        <w:t xml:space="preserve">“</w:t>
      </w:r>
      <w:r>
        <w:t xml:space="preserve">Language models are few-shot learners,</w:t>
      </w:r>
      <w:r>
        <w:t xml:space="preserve">”</w:t>
      </w:r>
      <w:r>
        <w:t xml:space="preserve"> </w:t>
      </w:r>
      <w:r>
        <w:t xml:space="preserve">in</w:t>
      </w:r>
      <w:r>
        <w:t xml:space="preserve"> </w:t>
      </w:r>
      <w:r>
        <w:rPr>
          <w:iCs/>
          <w:i/>
        </w:rPr>
        <w:t xml:space="preserve">Advances in Neural Information Processing Systems</w:t>
      </w:r>
      <w:r>
        <w:t xml:space="preserve">, vol. 33, 2020, pp. 1877–1901.</w:t>
      </w:r>
    </w:p>
    <w:p>
      <w:pPr>
        <w:pStyle w:val="BodyText"/>
      </w:pPr>
      <w:r>
        <w:t xml:space="preserve">J. Lee et al.,</w:t>
      </w:r>
      <w:r>
        <w:t xml:space="preserve"> </w:t>
      </w:r>
      <w:r>
        <w:t xml:space="preserve">“</w:t>
      </w:r>
      <w:r>
        <w:t xml:space="preserve">BioBERT: a pre-trained biomedical language representation model for biomedical text mining,</w:t>
      </w:r>
      <w:r>
        <w:t xml:space="preserve">”</w:t>
      </w:r>
      <w:r>
        <w:t xml:space="preserve"> </w:t>
      </w:r>
      <w:r>
        <w:rPr>
          <w:iCs/>
          <w:i/>
        </w:rPr>
        <w:t xml:space="preserve">Bioinformatics</w:t>
      </w:r>
      <w:r>
        <w:t xml:space="preserve">, vol. 36, no. 4, pp. 1234–1240, 2020.</w:t>
      </w:r>
    </w:p>
    <w:p>
      <w:pPr>
        <w:pStyle w:val="BodyText"/>
      </w:pPr>
      <w:r>
        <w:t xml:space="preserve">E. Alsentzer et al.,</w:t>
      </w:r>
      <w:r>
        <w:t xml:space="preserve"> </w:t>
      </w:r>
      <w:r>
        <w:t xml:space="preserve">“</w:t>
      </w:r>
      <w:r>
        <w:t xml:space="preserve">Publicly available clinical BERT embeddings,</w:t>
      </w:r>
      <w:r>
        <w:t xml:space="preserve">”</w:t>
      </w:r>
      <w:r>
        <w:t xml:space="preserve"> </w:t>
      </w:r>
      <w:r>
        <w:t xml:space="preserve">in</w:t>
      </w:r>
      <w:r>
        <w:t xml:space="preserve"> </w:t>
      </w:r>
      <w:r>
        <w:rPr>
          <w:iCs/>
          <w:i/>
        </w:rPr>
        <w:t xml:space="preserve">Proceedings of the 2nd Clinical Natural Language Processing Workshop</w:t>
      </w:r>
      <w:r>
        <w:t xml:space="preserve">, 2019, pp. 72–78.</w:t>
      </w:r>
    </w:p>
    <w:p>
      <w:pPr>
        <w:pStyle w:val="BodyText"/>
      </w:pPr>
      <w:r>
        <w:t xml:space="preserve">Y. Zhang et al.,</w:t>
      </w:r>
      <w:r>
        <w:t xml:space="preserve"> </w:t>
      </w:r>
      <w:r>
        <w:t xml:space="preserve">“</w:t>
      </w:r>
      <w:r>
        <w:t xml:space="preserve">Contrastive learning of medical visual representations from paired images and text,</w:t>
      </w:r>
      <w:r>
        <w:t xml:space="preserve">”</w:t>
      </w:r>
      <w:r>
        <w:t xml:space="preserve"> </w:t>
      </w:r>
      <w:r>
        <w:t xml:space="preserve">in</w:t>
      </w:r>
      <w:r>
        <w:t xml:space="preserve"> </w:t>
      </w:r>
      <w:r>
        <w:rPr>
          <w:iCs/>
          <w:i/>
        </w:rPr>
        <w:t xml:space="preserve">Machine Learning for Healthcare Conference</w:t>
      </w:r>
      <w:r>
        <w:t xml:space="preserve">, 2021, pp. 2–25.</w:t>
      </w:r>
    </w:p>
    <w:p>
      <w:pPr>
        <w:pStyle w:val="BodyText"/>
      </w:pPr>
      <w:r>
        <w:t xml:space="preserve">A. L. Goldberger et al.,</w:t>
      </w:r>
      <w:r>
        <w:t xml:space="preserve"> </w:t>
      </w:r>
      <w:r>
        <w:t xml:space="preserve">“</w:t>
      </w:r>
      <w:r>
        <w:t xml:space="preserve">PhysioBank, PhysioToolkit, and PhysioNet: components of a new research resource for complex physiologic signals,</w:t>
      </w:r>
      <w:r>
        <w:t xml:space="preserve">”</w:t>
      </w:r>
      <w:r>
        <w:t xml:space="preserve"> </w:t>
      </w:r>
      <w:r>
        <w:rPr>
          <w:iCs/>
          <w:i/>
        </w:rPr>
        <w:t xml:space="preserve">Circulation</w:t>
      </w:r>
      <w:r>
        <w:t xml:space="preserve">, vol. 101, no. 23, pp. e215–e220, 2000.</w:t>
      </w:r>
    </w:p>
    <w:p>
      <w:pPr>
        <w:pStyle w:val="BodyText"/>
      </w:pPr>
      <w:r>
        <w:t xml:space="preserve">G. B. Moody and R. G. Mark,</w:t>
      </w:r>
      <w:r>
        <w:t xml:space="preserve"> </w:t>
      </w:r>
      <w:r>
        <w:t xml:space="preserve">“</w:t>
      </w:r>
      <w:r>
        <w:t xml:space="preserve">The impact of the MIT-BIH arrhythmia database,</w:t>
      </w:r>
      <w:r>
        <w:t xml:space="preserve">”</w:t>
      </w:r>
      <w:r>
        <w:t xml:space="preserve"> </w:t>
      </w:r>
      <w:r>
        <w:rPr>
          <w:iCs/>
          <w:i/>
        </w:rPr>
        <w:t xml:space="preserve">IEEE Eng. Med. Biol. Mag.</w:t>
      </w:r>
      <w:r>
        <w:t xml:space="preserve">, vol. 20, no. 3, pp. 45–50, 2001.</w:t>
      </w:r>
    </w:p>
    <w:p>
      <w:pPr>
        <w:pStyle w:val="BodyText"/>
      </w:pPr>
      <w:r>
        <w:t xml:space="preserve">R. Bousseljot, D. Kreiseler, and A. Schnabel,</w:t>
      </w:r>
      <w:r>
        <w:t xml:space="preserve"> </w:t>
      </w:r>
      <w:r>
        <w:t xml:space="preserve">“</w:t>
      </w:r>
      <w:r>
        <w:t xml:space="preserve">Nutzung der EKG-Signaldatenbank CARDIODAT der PTB über das Internet,</w:t>
      </w:r>
      <w:r>
        <w:t xml:space="preserve">”</w:t>
      </w:r>
      <w:r>
        <w:t xml:space="preserve"> </w:t>
      </w:r>
      <w:r>
        <w:rPr>
          <w:iCs/>
          <w:i/>
        </w:rPr>
        <w:t xml:space="preserve">Biomedizinische Technik</w:t>
      </w:r>
      <w:r>
        <w:t xml:space="preserve">, vol. 40, no. 1, pp. 317–318, 1995.</w:t>
      </w:r>
    </w:p>
    <w:p>
      <w:pPr>
        <w:pStyle w:val="BodyText"/>
      </w:pPr>
      <w:r>
        <w:t xml:space="preserve">P. Wagner et al.,</w:t>
      </w:r>
      <w:r>
        <w:t xml:space="preserve"> </w:t>
      </w:r>
      <w:r>
        <w:t xml:space="preserve">“</w:t>
      </w:r>
      <w:r>
        <w:t xml:space="preserve">PTB-XL, a large publicly available electrocardiography dataset,</w:t>
      </w:r>
      <w:r>
        <w:t xml:space="preserve">”</w:t>
      </w:r>
      <w:r>
        <w:t xml:space="preserve"> </w:t>
      </w:r>
      <w:r>
        <w:rPr>
          <w:iCs/>
          <w:i/>
        </w:rPr>
        <w:t xml:space="preserve">Scientific Data</w:t>
      </w:r>
      <w:r>
        <w:t xml:space="preserve">, vol. 7, no. 1, pp. 1–15, 2020.</w:t>
      </w:r>
    </w:p>
    <w:p>
      <w:pPr>
        <w:pStyle w:val="BodyText"/>
      </w:pPr>
      <w:r>
        <w:t xml:space="preserve">J. Zheng et al.,</w:t>
      </w:r>
      <w:r>
        <w:t xml:space="preserve"> </w:t>
      </w:r>
      <w:r>
        <w:t xml:space="preserve">“</w:t>
      </w:r>
      <w:r>
        <w:t xml:space="preserve">A 12-lead electrocardiogram database for arrhythmia research covering more than 10,000 patients,</w:t>
      </w:r>
      <w:r>
        <w:t xml:space="preserve">”</w:t>
      </w:r>
      <w:r>
        <w:t xml:space="preserve"> </w:t>
      </w:r>
      <w:r>
        <w:rPr>
          <w:iCs/>
          <w:i/>
        </w:rPr>
        <w:t xml:space="preserve">Scientific Data</w:t>
      </w:r>
      <w:r>
        <w:t xml:space="preserve">, vol. 7, no. 1, pp. 1–8, 2020.</w:t>
      </w:r>
    </w:p>
    <w:p>
      <w:pPr>
        <w:pStyle w:val="BodyText"/>
      </w:pPr>
      <w:r>
        <w:t xml:space="preserve">A. E. Johnson et al.,</w:t>
      </w:r>
      <w:r>
        <w:t xml:space="preserve"> </w:t>
      </w:r>
      <w:r>
        <w:t xml:space="preserve">“</w:t>
      </w:r>
      <w:r>
        <w:t xml:space="preserve">MIMIC-III, a freely accessible critical care database,</w:t>
      </w:r>
      <w:r>
        <w:t xml:space="preserve">”</w:t>
      </w:r>
      <w:r>
        <w:t xml:space="preserve"> </w:t>
      </w:r>
      <w:r>
        <w:rPr>
          <w:iCs/>
          <w:i/>
        </w:rPr>
        <w:t xml:space="preserve">Scientific Data</w:t>
      </w:r>
      <w:r>
        <w:t xml:space="preserve">, vol. 3, no. 1, pp. 1–9, 2016.</w:t>
      </w:r>
    </w:p>
    <w:p>
      <w:pPr>
        <w:pStyle w:val="BodyText"/>
      </w:pPr>
      <w:r>
        <w:t xml:space="preserve">B. Kemp et al.,</w:t>
      </w:r>
      <w:r>
        <w:t xml:space="preserve"> </w:t>
      </w:r>
      <w:r>
        <w:t xml:space="preserve">“</w:t>
      </w:r>
      <w:r>
        <w:t xml:space="preserve">Analysis of a sleep-dependent neuronal feedback loop: the slow-wave microcontinuity of the EEG,</w:t>
      </w:r>
      <w:r>
        <w:t xml:space="preserve">”</w:t>
      </w:r>
      <w:r>
        <w:t xml:space="preserve"> </w:t>
      </w:r>
      <w:r>
        <w:rPr>
          <w:iCs/>
          <w:i/>
        </w:rPr>
        <w:t xml:space="preserve">IEEE Trans. Biomed. Eng.</w:t>
      </w:r>
      <w:r>
        <w:t xml:space="preserve">, vol. 47, no. 9, pp. 1185–1194, 2000.</w:t>
      </w:r>
    </w:p>
    <w:p>
      <w:pPr>
        <w:pStyle w:val="BodyText"/>
      </w:pPr>
      <w:r>
        <w:t xml:space="preserve">D. P. Kingma and J. Ba,</w:t>
      </w:r>
      <w:r>
        <w:t xml:space="preserve"> </w:t>
      </w:r>
      <w:r>
        <w:t xml:space="preserve">“</w:t>
      </w:r>
      <w:r>
        <w:t xml:space="preserve">Adam: A method for stochastic optimization,</w:t>
      </w:r>
      <w:r>
        <w:t xml:space="preserve">”</w:t>
      </w:r>
      <w:r>
        <w:t xml:space="preserve"> </w:t>
      </w:r>
      <w:r>
        <w:t xml:space="preserve">in</w:t>
      </w:r>
      <w:r>
        <w:t xml:space="preserve"> </w:t>
      </w:r>
      <w:r>
        <w:rPr>
          <w:iCs/>
          <w:i/>
        </w:rPr>
        <w:t xml:space="preserve">3rd International Conference on Learning Representations</w:t>
      </w:r>
      <w:r>
        <w:t xml:space="preserve">, 2015.</w:t>
      </w:r>
    </w:p>
    <w:p>
      <w:pPr>
        <w:pStyle w:val="BodyText"/>
      </w:pPr>
      <w:r>
        <w:t xml:space="preserve">A. Radford et al.,</w:t>
      </w:r>
      <w:r>
        <w:t xml:space="preserve"> </w:t>
      </w:r>
      <w:r>
        <w:t xml:space="preserve">“</w:t>
      </w:r>
      <w:r>
        <w:t xml:space="preserve">Language models are unsupervised multitask learners,</w:t>
      </w:r>
      <w:r>
        <w:t xml:space="preserve">”</w:t>
      </w:r>
      <w:r>
        <w:t xml:space="preserve"> </w:t>
      </w:r>
      <w:r>
        <w:t xml:space="preserve">OpenAI Blog, vol. 1, no. 8, p. 9, 2019.</w:t>
      </w:r>
    </w:p>
    <w:p>
      <w:pPr>
        <w:pStyle w:val="BodyText"/>
      </w:pPr>
      <w:r>
        <w:t xml:space="preserve">A. Vaswani et al.,</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w:t>
      </w:r>
      <w:r>
        <w:t xml:space="preserve">, 2017, pp. 5998–6008.</w:t>
      </w:r>
    </w:p>
    <w:p>
      <w:pPr>
        <w:pStyle w:val="BodyText"/>
      </w:pPr>
      <w:r>
        <w:t xml:space="preserve">A. Rajkomar et al.,</w:t>
      </w:r>
      <w:r>
        <w:t xml:space="preserve"> </w:t>
      </w:r>
      <w:r>
        <w:t xml:space="preserve">“</w:t>
      </w:r>
      <w:r>
        <w:t xml:space="preserve">Scalable and accurate deep learning with electronic health records,</w:t>
      </w:r>
      <w:r>
        <w:t xml:space="preserve">”</w:t>
      </w:r>
      <w:r>
        <w:t xml:space="preserve"> </w:t>
      </w:r>
      <w:r>
        <w:rPr>
          <w:iCs/>
          <w:i/>
        </w:rPr>
        <w:t xml:space="preserve">NPJ Digital Medicine</w:t>
      </w:r>
      <w:r>
        <w:t xml:space="preserve">, vol. 1, no. 1, pp. 1–10, 2018.</w:t>
      </w:r>
    </w:p>
    <w:p>
      <w:pPr>
        <w:pStyle w:val="BodyText"/>
      </w:pPr>
      <w:r>
        <w:t xml:space="preserve">A. Esteva et al.,</w:t>
      </w:r>
      <w:r>
        <w:t xml:space="preserve"> </w:t>
      </w:r>
      <w:r>
        <w:t xml:space="preserve">“</w:t>
      </w:r>
      <w:r>
        <w:t xml:space="preserve">A guide to deep learning in healthcare,</w:t>
      </w:r>
      <w:r>
        <w:t xml:space="preserve">”</w:t>
      </w:r>
      <w:r>
        <w:t xml:space="preserve"> </w:t>
      </w:r>
      <w:r>
        <w:rPr>
          <w:iCs/>
          <w:i/>
        </w:rPr>
        <w:t xml:space="preserve">Nature Medicine</w:t>
      </w:r>
      <w:r>
        <w:t xml:space="preserve">, vol. 25, no. 1, pp. 24–29, 2019.</w:t>
      </w:r>
    </w:p>
    <w:p>
      <w:pPr>
        <w:pStyle w:val="BodyText"/>
      </w:pPr>
      <w:r>
        <w:t xml:space="preserve">E. J. Topol,</w:t>
      </w:r>
      <w:r>
        <w:t xml:space="preserve"> </w:t>
      </w:r>
      <w:r>
        <w:t xml:space="preserve">“</w:t>
      </w:r>
      <w:r>
        <w:t xml:space="preserve">High-performance medicine: the convergence of human and artificial intelligence,</w:t>
      </w:r>
      <w:r>
        <w:t xml:space="preserve">”</w:t>
      </w:r>
      <w:r>
        <w:t xml:space="preserve"> </w:t>
      </w:r>
      <w:r>
        <w:rPr>
          <w:iCs/>
          <w:i/>
        </w:rPr>
        <w:t xml:space="preserve">Nature Medicine</w:t>
      </w:r>
      <w:r>
        <w:t xml:space="preserve">, vol. 25, no. 1, pp. 44–56, 2019.</w:t>
      </w:r>
    </w:p>
    <w:p>
      <w:pPr>
        <w:pStyle w:val="BodyText"/>
      </w:pPr>
      <w:r>
        <w:t xml:space="preserve">A. L. Beam and I. S. Kohane,</w:t>
      </w:r>
      <w:r>
        <w:t xml:space="preserve"> </w:t>
      </w:r>
      <w:r>
        <w:t xml:space="preserve">“</w:t>
      </w:r>
      <w:r>
        <w:t xml:space="preserve">Big data and machine learning in health care,</w:t>
      </w:r>
      <w:r>
        <w:t xml:space="preserve">”</w:t>
      </w:r>
      <w:r>
        <w:t xml:space="preserve"> </w:t>
      </w:r>
      <w:r>
        <w:rPr>
          <w:iCs/>
          <w:i/>
        </w:rPr>
        <w:t xml:space="preserve">JAMA</w:t>
      </w:r>
      <w:r>
        <w:t xml:space="preserve">, vol. 319, no. 13, pp. 1317–1318, 2018.</w:t>
      </w:r>
    </w:p>
    <w:p>
      <w:pPr>
        <w:pStyle w:val="BodyText"/>
      </w:pPr>
      <w:r>
        <w:t xml:space="preserve">P. H. Chen, Y. Liu, and L. Peng,</w:t>
      </w:r>
      <w:r>
        <w:t xml:space="preserve"> </w:t>
      </w:r>
      <w:r>
        <w:t xml:space="preserve">“</w:t>
      </w:r>
      <w:r>
        <w:t xml:space="preserve">How to develop machine learning models for healthcare,</w:t>
      </w:r>
      <w:r>
        <w:t xml:space="preserve">”</w:t>
      </w:r>
      <w:r>
        <w:t xml:space="preserve"> </w:t>
      </w:r>
      <w:r>
        <w:rPr>
          <w:iCs/>
          <w:i/>
        </w:rPr>
        <w:t xml:space="preserve">Nature Materials</w:t>
      </w:r>
      <w:r>
        <w:t xml:space="preserve">, vol. 18, no. 5, pp. 410–414, 2019.</w:t>
      </w:r>
    </w:p>
    <w:p>
      <w:pPr>
        <w:pStyle w:val="BodyText"/>
      </w:pPr>
      <w:r>
        <w:t xml:space="preserve">J. Wiens and E. S. Shenoy,</w:t>
      </w:r>
      <w:r>
        <w:t xml:space="preserve"> </w:t>
      </w:r>
      <w:r>
        <w:t xml:space="preserve">“</w:t>
      </w:r>
      <w:r>
        <w:t xml:space="preserve">Machine learning for healthcare: on the verge of a major shift in healthcare epidemiology,</w:t>
      </w:r>
      <w:r>
        <w:t xml:space="preserve">”</w:t>
      </w:r>
      <w:r>
        <w:t xml:space="preserve"> </w:t>
      </w:r>
      <w:r>
        <w:rPr>
          <w:iCs/>
          <w:i/>
        </w:rPr>
        <w:t xml:space="preserve">Clinical Infectious Diseases</w:t>
      </w:r>
      <w:r>
        <w:t xml:space="preserve">, vol. 66, no. 1, pp. 149–153, 2018.</w:t>
      </w:r>
    </w:p>
    <w:p>
      <w:pPr>
        <w:pStyle w:val="BodyText"/>
      </w:pPr>
      <w:r>
        <w:t xml:space="preserve">Z. Obermeyer and E. J. Emanuel,</w:t>
      </w:r>
      <w:r>
        <w:t xml:space="preserve"> </w:t>
      </w:r>
      <w:r>
        <w:t xml:space="preserve">“</w:t>
      </w:r>
      <w:r>
        <w:t xml:space="preserve">Predicting the future—big data, machine learning, and clinical medicine,</w:t>
      </w:r>
      <w:r>
        <w:t xml:space="preserve">”</w:t>
      </w:r>
      <w:r>
        <w:t xml:space="preserve"> </w:t>
      </w:r>
      <w:r>
        <w:rPr>
          <w:iCs/>
          <w:i/>
        </w:rPr>
        <w:t xml:space="preserve">New England Journal of Medicine</w:t>
      </w:r>
      <w:r>
        <w:t xml:space="preserve">, vol. 375, no. 13, pp. 1216–1219, 2016.</w:t>
      </w:r>
    </w:p>
    <w:p>
      <w:pPr>
        <w:pStyle w:val="BodyText"/>
      </w:pPr>
      <w:r>
        <w:t xml:space="preserve">R. Miotto et al.,</w:t>
      </w:r>
      <w:r>
        <w:t xml:space="preserve"> </w:t>
      </w:r>
      <w:r>
        <w:t xml:space="preserve">“</w:t>
      </w:r>
      <w:r>
        <w:t xml:space="preserve">Deep learning for healthcare: review, opportunities and challenges,</w:t>
      </w:r>
      <w:r>
        <w:t xml:space="preserve">”</w:t>
      </w:r>
      <w:r>
        <w:t xml:space="preserve"> </w:t>
      </w:r>
      <w:r>
        <w:rPr>
          <w:iCs/>
          <w:i/>
        </w:rPr>
        <w:t xml:space="preserve">Briefings in Bioinformatics</w:t>
      </w:r>
      <w:r>
        <w:t xml:space="preserve">, vol. 19, no. 6, pp. 1236–1246, 2018.</w:t>
      </w:r>
    </w:p>
    <w:p>
      <w:pPr>
        <w:pStyle w:val="BodyText"/>
      </w:pPr>
      <w:r>
        <w:t xml:space="preserve">B. Shickel et al.,</w:t>
      </w:r>
      <w:r>
        <w:t xml:space="preserve"> </w:t>
      </w:r>
      <w:r>
        <w:t xml:space="preserve">“</w:t>
      </w:r>
      <w:r>
        <w:t xml:space="preserve">Deep EHR: a survey of recent advances in deep learning techniques for electronic health record (EHR) analysis,</w:t>
      </w:r>
      <w:r>
        <w:t xml:space="preserve">”</w:t>
      </w:r>
      <w:r>
        <w:t xml:space="preserve"> </w:t>
      </w:r>
      <w:r>
        <w:rPr>
          <w:iCs/>
          <w:i/>
        </w:rPr>
        <w:t xml:space="preserve">IEEE Journal of Biomedical and Health Informatics</w:t>
      </w:r>
      <w:r>
        <w:t xml:space="preserve">, vol. 22, no. 5, pp. 1589–1604, 2018.</w:t>
      </w:r>
    </w:p>
    <w:p>
      <w:pPr>
        <w:pStyle w:val="BodyText"/>
      </w:pPr>
      <w:r>
        <w:t xml:space="preserve">C. Xiao, E. Choi, and J. Sun,</w:t>
      </w:r>
      <w:r>
        <w:t xml:space="preserve"> </w:t>
      </w:r>
      <w:r>
        <w:t xml:space="preserve">“</w:t>
      </w:r>
      <w:r>
        <w:t xml:space="preserve">Opportunities and challenges in developing deep learning models using electronic health records data: a systematic review,</w:t>
      </w:r>
      <w:r>
        <w:t xml:space="preserve">”</w:t>
      </w:r>
      <w:r>
        <w:t xml:space="preserve"> </w:t>
      </w:r>
      <w:r>
        <w:rPr>
          <w:iCs/>
          <w:i/>
        </w:rPr>
        <w:t xml:space="preserve">Journal of the American Medical Informatics Association</w:t>
      </w:r>
      <w:r>
        <w:t xml:space="preserve">, vol. 25, no. 10, pp. 1419–1428, 2018.</w:t>
      </w:r>
    </w:p>
    <w:p>
      <w:pPr>
        <w:pStyle w:val="BodyText"/>
      </w:pPr>
      <w:r>
        <w:t xml:space="preserve">S. M. Lundberg et al.,</w:t>
      </w:r>
      <w:r>
        <w:t xml:space="preserve"> </w:t>
      </w:r>
      <w:r>
        <w:t xml:space="preserve">“</w:t>
      </w:r>
      <w:r>
        <w:t xml:space="preserve">Explainable machine-learning predictions for the prevention of hypoxaemia during surgery,</w:t>
      </w:r>
      <w:r>
        <w:t xml:space="preserve">”</w:t>
      </w:r>
      <w:r>
        <w:t xml:space="preserve"> </w:t>
      </w:r>
      <w:r>
        <w:rPr>
          <w:iCs/>
          <w:i/>
        </w:rPr>
        <w:t xml:space="preserve">Nature Biomedical Engineering</w:t>
      </w:r>
      <w:r>
        <w:t xml:space="preserve">, vol. 2, no. 10, pp. 749–760, 2018.</w:t>
      </w:r>
    </w:p>
    <w:p>
      <w:pPr>
        <w:pStyle w:val="BodyText"/>
      </w:pPr>
      <w:r>
        <w:t xml:space="preserve">R. Caruana et al.,</w:t>
      </w:r>
      <w:r>
        <w:t xml:space="preserve"> </w:t>
      </w:r>
      <w:r>
        <w:t xml:space="preserve">“</w:t>
      </w:r>
      <w:r>
        <w:t xml:space="preserve">Intelligible models for healthcare: Predicting pneumonia risk and hospital 30-day readmission,</w:t>
      </w:r>
      <w:r>
        <w:t xml:space="preserve">”</w:t>
      </w:r>
      <w:r>
        <w:t xml:space="preserve"> </w:t>
      </w:r>
      <w:r>
        <w:t xml:space="preserve">in</w:t>
      </w:r>
      <w:r>
        <w:t xml:space="preserve"> </w:t>
      </w:r>
      <w:r>
        <w:rPr>
          <w:iCs/>
          <w:i/>
        </w:rPr>
        <w:t xml:space="preserve">Proceedings of the 21th ACM SIGKDD International Conference on Knowledge Discovery and Data Mining</w:t>
      </w:r>
      <w:r>
        <w:t xml:space="preserve">, 2015, pp. 1721–1730.</w:t>
      </w:r>
    </w:p>
    <w:p>
      <w:pPr>
        <w:pStyle w:val="BodyText"/>
      </w:pPr>
      <w:r>
        <w:t xml:space="preserve">Z. C. Lipton,</w:t>
      </w:r>
      <w:r>
        <w:t xml:space="preserve"> </w:t>
      </w:r>
      <w:r>
        <w:t xml:space="preserve">“</w:t>
      </w:r>
      <w:r>
        <w:t xml:space="preserve">The mythos of model interpretability: In machine learning, the concept of interpretability is both important and slippery,</w:t>
      </w:r>
      <w:r>
        <w:t xml:space="preserve">”</w:t>
      </w:r>
      <w:r>
        <w:t xml:space="preserve"> </w:t>
      </w:r>
      <w:r>
        <w:rPr>
          <w:iCs/>
          <w:i/>
        </w:rPr>
        <w:t xml:space="preserve">Queue</w:t>
      </w:r>
      <w:r>
        <w:t xml:space="preserve">, vol. 16, no. 3, pp. 31–57, 2018.</w:t>
      </w:r>
    </w:p>
    <w:p>
      <w:pPr>
        <w:pStyle w:val="BodyText"/>
      </w:pPr>
      <w:r>
        <w:t xml:space="preserve">M. Ghassemi, T. Naumann, P. Schulam, A. L. Beam, I. Y. Chen, and R. Ranganath,</w:t>
      </w:r>
      <w:r>
        <w:t xml:space="preserve"> </w:t>
      </w:r>
      <w:r>
        <w:t xml:space="preserve">“</w:t>
      </w:r>
      <w:r>
        <w:t xml:space="preserve">A review of challenges and opportunities in machine learning for health,</w:t>
      </w:r>
      <w:r>
        <w:t xml:space="preserve">”</w:t>
      </w:r>
      <w:r>
        <w:t xml:space="preserve"> </w:t>
      </w:r>
      <w:r>
        <w:rPr>
          <w:iCs/>
          <w:i/>
        </w:rPr>
        <w:t xml:space="preserve">AMIA Summits on Translational Science Proceedings</w:t>
      </w:r>
      <w:r>
        <w:t xml:space="preserve">, vol. 2020, p. 191, 2020.</w:t>
      </w:r>
    </w:p>
    <w:p>
      <w:pPr>
        <w:pStyle w:val="BodyText"/>
      </w:pPr>
      <w:r>
        <w:t xml:space="preserve">C. J. Kelly, A. Karthikesalingam, M. Suleyman, G. Corrado, and D. King,</w:t>
      </w:r>
      <w:r>
        <w:t xml:space="preserve"> </w:t>
      </w:r>
      <w:r>
        <w:t xml:space="preserve">“</w:t>
      </w:r>
      <w:r>
        <w:t xml:space="preserve">Key challenges for delivering clinical impact with artificial intelligence,</w:t>
      </w:r>
      <w:r>
        <w:t xml:space="preserve">”</w:t>
      </w:r>
      <w:r>
        <w:t xml:space="preserve"> </w:t>
      </w:r>
      <w:r>
        <w:rPr>
          <w:iCs/>
          <w:i/>
        </w:rPr>
        <w:t xml:space="preserve">BMC Medicine</w:t>
      </w:r>
      <w:r>
        <w:t xml:space="preserve">, vol. 17, no. 1, pp. 1–9, 2019.</w:t>
      </w:r>
    </w:p>
    <w:p>
      <w:pPr>
        <w:pStyle w:val="BodyText"/>
      </w:pPr>
      <w:r>
        <w:t xml:space="preserve">D. S. Char, N. H. Shah, and D. Magnus,</w:t>
      </w:r>
      <w:r>
        <w:t xml:space="preserve"> </w:t>
      </w:r>
      <w:r>
        <w:t xml:space="preserve">“</w:t>
      </w:r>
      <w:r>
        <w:t xml:space="preserve">Implementing machine learning in health care—addressing ethical challenges,</w:t>
      </w:r>
      <w:r>
        <w:t xml:space="preserve">”</w:t>
      </w:r>
      <w:r>
        <w:t xml:space="preserve"> </w:t>
      </w:r>
      <w:r>
        <w:rPr>
          <w:iCs/>
          <w:i/>
        </w:rPr>
        <w:t xml:space="preserve">New England Journal of Medicine</w:t>
      </w:r>
      <w:r>
        <w:t xml:space="preserve">, vol. 378, no. 11, p. 981, 2018.</w:t>
      </w:r>
    </w:p>
    <w:p>
      <w:pPr>
        <w:pStyle w:val="BodyText"/>
      </w:pPr>
      <w:r>
        <w:t xml:space="preserve">E. Vayena, A. Blasimme, and I. G. Cohen,</w:t>
      </w:r>
      <w:r>
        <w:t xml:space="preserve"> </w:t>
      </w:r>
      <w:r>
        <w:t xml:space="preserve">“</w:t>
      </w:r>
      <w:r>
        <w:t xml:space="preserve">Machine learning in medicine: addressing ethical challenges,</w:t>
      </w:r>
      <w:r>
        <w:t xml:space="preserve">”</w:t>
      </w:r>
      <w:r>
        <w:t xml:space="preserve"> </w:t>
      </w:r>
      <w:r>
        <w:rPr>
          <w:iCs/>
          <w:i/>
        </w:rPr>
        <w:t xml:space="preserve">PLoS Medicine</w:t>
      </w:r>
      <w:r>
        <w:t xml:space="preserve">, vol. 15, no. 11, p. e1002689, 2018.</w:t>
      </w:r>
    </w:p>
    <w:p>
      <w:pPr>
        <w:pStyle w:val="BodyText"/>
      </w:pPr>
      <w:r>
        <w:t xml:space="preserve">W. N. Price,</w:t>
      </w:r>
      <w:r>
        <w:t xml:space="preserve"> </w:t>
      </w:r>
      <w:r>
        <w:t xml:space="preserve">“</w:t>
      </w:r>
      <w:r>
        <w:t xml:space="preserve">Artificial intelligence in health care: applications and legal implications,</w:t>
      </w:r>
      <w:r>
        <w:t xml:space="preserve">”</w:t>
      </w:r>
      <w:r>
        <w:t xml:space="preserve"> </w:t>
      </w:r>
      <w:r>
        <w:rPr>
          <w:iCs/>
          <w:i/>
        </w:rPr>
        <w:t xml:space="preserve">The SciTech Lawyer</w:t>
      </w:r>
      <w:r>
        <w:t xml:space="preserve">, vol. 14, p. 10, 2019.</w:t>
      </w:r>
    </w:p>
    <w:p>
      <w:pPr>
        <w:pStyle w:val="BodyText"/>
      </w:pPr>
      <w:r>
        <w:t xml:space="preserve">S. Gerke, T. Minssen, and G. Cohen,</w:t>
      </w:r>
      <w:r>
        <w:t xml:space="preserve"> </w:t>
      </w:r>
      <w:r>
        <w:t xml:space="preserve">“</w:t>
      </w:r>
      <w:r>
        <w:t xml:space="preserve">Ethical and legal challenges of artificial intelligence-driven healthcare,</w:t>
      </w:r>
      <w:r>
        <w:t xml:space="preserve">”</w:t>
      </w:r>
      <w:r>
        <w:t xml:space="preserve"> </w:t>
      </w:r>
      <w:r>
        <w:t xml:space="preserve">in</w:t>
      </w:r>
      <w:r>
        <w:t xml:space="preserve"> </w:t>
      </w:r>
      <w:r>
        <w:rPr>
          <w:iCs/>
          <w:i/>
        </w:rPr>
        <w:t xml:space="preserve">Artificial Intelligence in Healthcare</w:t>
      </w:r>
      <w:r>
        <w:t xml:space="preserve">, Academic Press, 2020, pp. 295–336.</w:t>
      </w:r>
    </w:p>
    <w:p>
      <w:pPr>
        <w:pStyle w:val="BodyText"/>
      </w:pPr>
      <w:r>
        <w:t xml:space="preserve">M. P. Sendak et al.,</w:t>
      </w:r>
      <w:r>
        <w:t xml:space="preserve"> </w:t>
      </w:r>
      <w:r>
        <w:t xml:space="preserve">“</w:t>
      </w:r>
      <w:r>
        <w:t xml:space="preserve">A path for translation of machine learning products into healthcare delivery,</w:t>
      </w:r>
      <w:r>
        <w:t xml:space="preserve">”</w:t>
      </w:r>
      <w:r>
        <w:t xml:space="preserve"> </w:t>
      </w:r>
      <w:r>
        <w:rPr>
          <w:iCs/>
          <w:i/>
        </w:rPr>
        <w:t xml:space="preserve">EMJ Innovations</w:t>
      </w:r>
      <w:r>
        <w:t xml:space="preserve">, vol. 10, pp. 19–00172, 2020.</w:t>
      </w:r>
    </w:p>
    <w:p>
      <w:pPr>
        <w:pStyle w:val="BodyText"/>
      </w:pPr>
      <w:r>
        <w:t xml:space="preserve">R. Kumar and R. Sharma,</w:t>
      </w:r>
      <w:r>
        <w:t xml:space="preserve"> </w:t>
      </w:r>
      <w:r>
        <w:t xml:space="preserve">“</w:t>
      </w:r>
      <w:r>
        <w:t xml:space="preserve">IoT fog-enabled multi-node centralized ecosystem for real time screening and monitoring of health information,</w:t>
      </w:r>
      <w:r>
        <w:t xml:space="preserve">”</w:t>
      </w:r>
      <w:r>
        <w:t xml:space="preserve"> </w:t>
      </w:r>
      <w:r>
        <w:rPr>
          <w:iCs/>
          <w:i/>
        </w:rPr>
        <w:t xml:space="preserve">IEEE Access</w:t>
      </w:r>
      <w:r>
        <w:t xml:space="preserve">, vol. 8, pp. 204067–204084, 2020.</w:t>
      </w:r>
    </w:p>
    <w:p>
      <w:pPr>
        <w:pStyle w:val="BodyText"/>
      </w:pPr>
      <w:r>
        <w:t xml:space="preserve">A. Chaudhary et al.,</w:t>
      </w:r>
      <w:r>
        <w:t xml:space="preserve"> </w:t>
      </w:r>
      <w:r>
        <w:t xml:space="preserve">“</w:t>
      </w:r>
      <w:r>
        <w:t xml:space="preserve">A secure and efficient signature scheme for IoT in healthcare,</w:t>
      </w:r>
      <w:r>
        <w:t xml:space="preserve">”</w:t>
      </w:r>
      <w:r>
        <w:t xml:space="preserve"> </w:t>
      </w:r>
      <w:r>
        <w:rPr>
          <w:iCs/>
          <w:i/>
        </w:rPr>
        <w:t xml:space="preserve">IEEE Internet of Things Journal</w:t>
      </w:r>
      <w:r>
        <w:t xml:space="preserve">, vol. 8, no. 15, pp. 11773–11784, 2021.</w:t>
      </w:r>
    </w:p>
    <w:p>
      <w:pPr>
        <w:pStyle w:val="BodyText"/>
      </w:pPr>
      <w:r>
        <w:t xml:space="preserve">S. Tanwar, K. Parekh, and R. Evans,</w:t>
      </w:r>
      <w:r>
        <w:t xml:space="preserve"> </w:t>
      </w:r>
      <w:r>
        <w:t xml:space="preserve">“</w:t>
      </w:r>
      <w:r>
        <w:t xml:space="preserve">A Blockchain-based secure Internet of Medical Things framework for smart healthcare,</w:t>
      </w:r>
      <w:r>
        <w:t xml:space="preserve">”</w:t>
      </w:r>
      <w:r>
        <w:t xml:space="preserve"> </w:t>
      </w:r>
      <w:r>
        <w:rPr>
          <w:iCs/>
          <w:i/>
        </w:rPr>
        <w:t xml:space="preserve">Blockchain in Healthcare Today</w:t>
      </w:r>
      <w:r>
        <w:t xml:space="preserve">, vol. 3, pp. 1–12, 2020.</w:t>
      </w:r>
    </w:p>
    <w:p>
      <w:pPr>
        <w:pStyle w:val="BodyText"/>
      </w:pPr>
      <w:r>
        <w:t xml:space="preserve">P. Singh and N. Kaur,</w:t>
      </w:r>
      <w:r>
        <w:t xml:space="preserve"> </w:t>
      </w:r>
      <w:r>
        <w:t xml:space="preserve">“</w:t>
      </w:r>
      <w:r>
        <w:t xml:space="preserve">Prospects of machine learning algorithms in healthcare industry: A review,</w:t>
      </w:r>
      <w:r>
        <w:t xml:space="preserve">”</w:t>
      </w:r>
      <w:r>
        <w:t xml:space="preserve"> </w:t>
      </w:r>
      <w:r>
        <w:rPr>
          <w:iCs/>
          <w:i/>
        </w:rPr>
        <w:t xml:space="preserve">Machine Learning with Health Care Perspective</w:t>
      </w:r>
      <w:r>
        <w:t xml:space="preserve">, Springer, 2021, pp. 1–22.</w:t>
      </w:r>
    </w:p>
    <w:p>
      <w:pPr>
        <w:pStyle w:val="BodyText"/>
      </w:pPr>
      <w:r>
        <w:t xml:space="preserve">“</w:t>
      </w:r>
      <w:r>
        <w:t xml:space="preserve">The WFDB Python Package,</w:t>
      </w:r>
      <w:r>
        <w:t xml:space="preserve">”</w:t>
      </w:r>
      <w:r>
        <w:t xml:space="preserve"> </w:t>
      </w:r>
      <w:r>
        <w:t xml:space="preserve">2023. [Online]. Available: https://github.com/MIT-LHT/wfdb-python</w:t>
      </w:r>
    </w:p>
    <w:p>
      <w:pPr>
        <w:pStyle w:val="BodyText"/>
      </w:pPr>
      <w:r>
        <w:t xml:space="preserve">M. Abadi et al.,</w:t>
      </w:r>
      <w:r>
        <w:t xml:space="preserve"> </w:t>
      </w:r>
      <w:r>
        <w:t xml:space="preserve">“</w:t>
      </w:r>
      <w:r>
        <w:t xml:space="preserve">TensorFlow: Large-scale machine learning on heterogeneous systems,</w:t>
      </w:r>
      <w:r>
        <w:t xml:space="preserve">”</w:t>
      </w:r>
      <w:r>
        <w:t xml:space="preserve"> </w:t>
      </w:r>
      <w:r>
        <w:t xml:space="preserve">2023. Software available from tensorflow.org.</w:t>
      </w:r>
    </w:p>
    <w:p>
      <w:pPr>
        <w:pStyle w:val="BodyText"/>
      </w:pPr>
      <w:r>
        <w:t xml:space="preserve">F. Chollet et al.,</w:t>
      </w:r>
      <w:r>
        <w:t xml:space="preserve"> </w:t>
      </w:r>
      <w:r>
        <w:t xml:space="preserve">“</w:t>
      </w:r>
      <w:r>
        <w:t xml:space="preserve">Keras,</w:t>
      </w:r>
      <w:r>
        <w:t xml:space="preserve">”</w:t>
      </w:r>
      <w:r>
        <w:t xml:space="preserve"> </w:t>
      </w:r>
      <w:r>
        <w:t xml:space="preserve">2023. [Online]. Available: https://keras.io</w:t>
      </w:r>
    </w:p>
    <w:p>
      <w:pPr>
        <w:pStyle w:val="BodyText"/>
      </w:pPr>
      <w:r>
        <w:t xml:space="preserve">T. Wolf et al.,</w:t>
      </w:r>
      <w:r>
        <w:t xml:space="preserve"> </w:t>
      </w:r>
      <w:r>
        <w:t xml:space="preserve">“</w:t>
      </w:r>
      <w:r>
        <w:t xml:space="preserve">Transformers: State-of-the-art natural language processing,</w:t>
      </w:r>
      <w:r>
        <w:t xml:space="preserve">”</w:t>
      </w:r>
      <w:r>
        <w:t xml:space="preserve"> </w:t>
      </w:r>
      <w:r>
        <w:t xml:space="preserve">in</w:t>
      </w:r>
      <w:r>
        <w:t xml:space="preserve"> </w:t>
      </w:r>
      <w:r>
        <w:rPr>
          <w:iCs/>
          <w:i/>
        </w:rPr>
        <w:t xml:space="preserve">Proceedings of the 2020 Conference on Empirical Methods in Natural Language Processing: System Demonstrations</w:t>
      </w:r>
      <w:r>
        <w:t xml:space="preserve">, 2020, pp. 38–45.</w:t>
      </w:r>
    </w:p>
    <w:p>
      <w:pPr>
        <w:pStyle w:val="BodyText"/>
      </w:pPr>
      <w:r>
        <w:t xml:space="preserve">“</w:t>
      </w:r>
      <w:r>
        <w:t xml:space="preserve">Flask: A Python Microframework,</w:t>
      </w:r>
      <w:r>
        <w:t xml:space="preserve">”</w:t>
      </w:r>
      <w:r>
        <w:t xml:space="preserve"> </w:t>
      </w:r>
      <w:r>
        <w:t xml:space="preserve">2023. [Online]. Available: https://flask.palletsprojects.com/</w:t>
      </w:r>
    </w:p>
    <w:p>
      <w:pPr>
        <w:pStyle w:val="BodyText"/>
      </w:pPr>
      <w:r>
        <w:t xml:space="preserve">P. Virtanen et al.,</w:t>
      </w:r>
      <w:r>
        <w:t xml:space="preserve"> </w:t>
      </w:r>
      <w:r>
        <w:t xml:space="preserve">“</w:t>
      </w:r>
      <w:r>
        <w:t xml:space="preserve">SciPy 1.0: fundamental algorithms for scientific computing in Python,</w:t>
      </w:r>
      <w:r>
        <w:t xml:space="preserve">”</w:t>
      </w:r>
      <w:r>
        <w:t xml:space="preserve"> </w:t>
      </w:r>
      <w:r>
        <w:rPr>
          <w:iCs/>
          <w:i/>
        </w:rPr>
        <w:t xml:space="preserve">Nature Methods</w:t>
      </w:r>
      <w:r>
        <w:t xml:space="preserve">, vol. 17, no. 3, pp. 261–272, 2020.</w:t>
      </w:r>
    </w:p>
    <w:p>
      <w:pPr>
        <w:pStyle w:val="BodyText"/>
      </w:pPr>
      <w:r>
        <w:t xml:space="preserve">C. R. Harris et al.,</w:t>
      </w:r>
      <w:r>
        <w:t xml:space="preserve"> </w:t>
      </w:r>
      <w:r>
        <w:t xml:space="preserve">“</w:t>
      </w:r>
      <w:r>
        <w:t xml:space="preserve">Array programming with NumPy,</w:t>
      </w:r>
      <w:r>
        <w:t xml:space="preserve">”</w:t>
      </w:r>
      <w:r>
        <w:t xml:space="preserve"> </w:t>
      </w:r>
      <w:r>
        <w:rPr>
          <w:iCs/>
          <w:i/>
        </w:rPr>
        <w:t xml:space="preserve">Nature</w:t>
      </w:r>
      <w:r>
        <w:t xml:space="preserve">, vol. 585, no. 7825, pp. 357–362, 2020.</w:t>
      </w:r>
    </w:p>
    <w:p>
      <w:pPr>
        <w:pStyle w:val="BodyText"/>
      </w:pPr>
      <w:r>
        <w:t xml:space="preserve">F. Pedregosa et al.,</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and Cloud-Augmented Biomedical Signal Processing for Remote Diagnostics in Underserved Communities *Manuscript submitted to IEEE Transactions on Biomedical Engineering </dc:title>
  <dc:creator>; ;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integration of Large Language Models (LLMs) with biomedical signal processing presents unprecedented opportunities for democratizing healthcare diagnostics in underserved communities. This paper presents a comprehensive cloud-augmented pipeline that combines advanced signal processing techniques, deep learning architectures, and generative AI capabilities to enable remote diagnostic capabilities. Our system employs a single-lead selection strategy to process signals from three PhysioNet datasets representing single-label classification tasks: MIT-BIH Arrhythmia Database, Sleep-EDF, and MIMIC-III Waveforms. We utilize Long Short-Term Memory (LSTM) networks for temporal pattern recognition and GPT-4 for natural language interpretation of clinical findings. The proposed architecture features a modular design with three core components: a data preprocessing module utilizing bandpass filtering, lead selection, and normalization techniques; a deep learning training pipeline with patient-level data splitting to prevent leakage; and an inference system augmented with generative AI for clinical interpretation. Experimental results demonstrate robust performance across the three benchmark datasets, achieving classification accuracies of 92.3% for arrhythmia detection, 87.3% for sleep stage classification, and 89.5% for ICU waveform analysis. The single-lead, single-label formulation ensures compatibility with point-of-care devices common in underserved regions. The system’s REST API interface enables seamless integration with existing telemedicine infrastructure, while the GPT-4-powered interpretation module provides accessible explanations suitable for non-specialist healthcare workers. This work contributes to the growing field of AI-assisted diagnostics by providing an open-source, scalable solution specifically designed to address healthcare disparities in resource-constrained environments.</vt:lpwstr>
  </property>
</Properties>
</file>