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14:paraId="3D2E32E1">
      <w:pPr>
        <w:pBdr/>
        <w:spacing w:after="160" w:before="0"/>
        <w:ind/>
        <w:jc w:val="center"/>
        <w:rPr>
          <w:b/>
          <w:bCs/>
          <w:color w:val="1f3d7a"/>
          <w:sz w:val="40"/>
          <w:szCs w:val="40"/>
        </w:rPr>
      </w:pPr>
      <w:r>
        <w:rPr>
          <w:b/>
          <w:bCs/>
          <w:color w:val="1f3d7a"/>
          <w:sz w:val="40"/>
          <w:szCs w:val="40"/>
        </w:rPr>
        <w:t xml:space="preserve">Author Response to Peer Review</w:t>
      </w:r>
      <w:r>
        <w:rPr>
          <w:b/>
          <w:bCs/>
          <w:color w:val="1f3d7a"/>
          <w:sz w:val="40"/>
          <w:szCs w:val="40"/>
        </w:rPr>
      </w:r>
    </w:p>
    <w:p w14:paraId="434F0F1B">
      <w:pPr>
        <w:pBdr/>
        <w:spacing w:after="160" w:before="0"/>
        <w:ind/>
        <w:jc w:val="both"/>
        <w:rPr>
          <w:sz w:val="24"/>
          <w:szCs w:val="24"/>
        </w:rPr>
      </w:pPr>
      <w:r>
        <w:rPr>
          <w:sz w:val="24"/>
          <w:szCs w:val="24"/>
        </w:rPr>
        <w:t xml:space="preserve">Manuscript: From Population Surveys to Neural Signals: A Hybrid LSTM-LLM Framework for Predicting EEG-Indexed Cognitive Decline from NHANES Sleep Behavioral Features</w:t>
      </w:r>
      <w:r>
        <w:rPr>
          <w:sz w:val="24"/>
          <w:szCs w:val="24"/>
        </w:rPr>
      </w:r>
    </w:p>
    <w:p w14:paraId="5FBE1D43">
      <w:pPr>
        <w:pBdr/>
        <w:spacing w:after="160" w:before="0"/>
        <w:ind/>
        <w:jc w:val="both"/>
        <w:rPr>
          <w:sz w:val="24"/>
          <w:szCs w:val="24"/>
        </w:rPr>
      </w:pPr>
      <w:r>
        <w:rPr>
          <w:sz w:val="24"/>
          <w:szCs w:val="24"/>
        </w:rPr>
        <w:t xml:space="preserve">Target Venue: IEEE Journal of Biomedical and Health Informatics (JBHI)</w:t>
      </w:r>
      <w:r>
        <w:rPr>
          <w:sz w:val="24"/>
          <w:szCs w:val="24"/>
        </w:rPr>
      </w:r>
    </w:p>
    <w:p w14:paraId="4A983BAC">
      <w:pPr>
        <w:pBdr/>
        <w:spacing w:after="160" w:before="0"/>
        <w:ind/>
        <w:jc w:val="both"/>
        <w:rPr>
          <w:sz w:val="24"/>
          <w:szCs w:val="24"/>
        </w:rPr>
      </w:pPr>
      <w:r>
        <w:rPr>
          <w:sz w:val="24"/>
          <w:szCs w:val="24"/>
        </w:rPr>
        <w:t xml:space="preserve">Response Date: October 28, 2026</w:t>
      </w:r>
      <w:r>
        <w:rPr>
          <w:sz w:val="24"/>
          <w:szCs w:val="24"/>
        </w:rPr>
      </w:r>
    </w:p>
    <w:p w14:paraId="526A488E">
      <w:pPr>
        <w:pBdr/>
        <w:spacing w:after="160" w:before="0"/>
        <w:ind/>
        <w:jc w:val="both"/>
        <w:rPr>
          <w:sz w:val="24"/>
          <w:szCs w:val="24"/>
        </w:rPr>
      </w:pPr>
      <w:r>
        <w:rPr>
          <w:sz w:val="24"/>
          <w:szCs w:val="24"/>
        </w:rPr>
        <w:t xml:space="preserve">Decision Received: REJECT — Invitation to Resubmit</w:t>
      </w:r>
      <w:r>
        <w:rPr>
          <w:sz w:val="24"/>
          <w:szCs w:val="24"/>
        </w:rPr>
      </w:r>
    </w:p>
    <w:p w14:paraId="77BCE6DE">
      <w:pPr>
        <w:pBdr/>
        <w:spacing w:after="160" w:before="160"/>
        <w:ind/>
        <w:rPr>
          <w:color w:val="cccccc"/>
          <w:sz w:val="20"/>
          <w:szCs w:val="20"/>
        </w:rPr>
      </w:pPr>
      <w:r>
        <w:rPr>
          <w:color w:val="cccccc"/>
          <w:sz w:val="20"/>
          <w:szCs w:val="20"/>
        </w:rPr>
        <w:t xml:space="preserve">────────────────────────────────────────────────────────────</w:t>
      </w:r>
      <w:r>
        <w:rPr>
          <w:color w:val="cccccc"/>
          <w:sz w:val="20"/>
          <w:szCs w:val="20"/>
        </w:rPr>
      </w:r>
    </w:p>
    <w:p w14:paraId="756C74A1">
      <w:pPr>
        <w:pBdr/>
        <w:spacing w:after="160" w:before="400"/>
        <w:ind/>
        <w:rPr>
          <w:b/>
          <w:bCs/>
          <w:color w:val="1f3d7a"/>
          <w:sz w:val="32"/>
          <w:szCs w:val="32"/>
        </w:rPr>
      </w:pPr>
      <w:r>
        <w:rPr>
          <w:b/>
          <w:bCs/>
          <w:color w:val="1f3d7a"/>
          <w:sz w:val="32"/>
          <w:szCs w:val="32"/>
        </w:rPr>
        <w:t xml:space="preserve">1. Overview of Changes</w:t>
      </w:r>
      <w:r>
        <w:rPr>
          <w:b/>
          <w:bCs/>
          <w:color w:val="1f3d7a"/>
          <w:sz w:val="32"/>
          <w:szCs w:val="32"/>
        </w:rPr>
      </w:r>
    </w:p>
    <w:p w14:paraId="59A40EB6">
      <w:pPr>
        <w:pBdr/>
        <w:spacing w:after="160" w:before="0"/>
        <w:ind/>
        <w:jc w:val="both"/>
        <w:rPr>
          <w:sz w:val="24"/>
          <w:szCs w:val="24"/>
        </w:rPr>
      </w:pPr>
      <w:r>
        <w:rPr>
          <w:sz w:val="24"/>
          <w:szCs w:val="24"/>
        </w:rPr>
        <w:t xml:space="preserve">We thank the three reviewers and the Area Chair for their thorough and constructive reviews. The meta-review identified 15 issues across three severity categories: 4 Blocking, 6 Major, and 5 Minor. This response addresses each point individually. We have implemented all tractable changes in the current revision (tracked in stage9_revised_manuscript.docx) and provide a detailed roadmap for the blocking issue of real-data validation.</w:t>
      </w:r>
      <w:r>
        <w:rPr>
          <w:sz w:val="24"/>
          <w:szCs w:val="24"/>
        </w:rPr>
      </w:r>
    </w:p>
    <w:p w14:paraId="10DD6178">
      <w:pPr>
        <w:pBdr/>
        <w:spacing w:after="160" w:before="0"/>
        <w:ind/>
        <w:jc w:val="both"/>
        <w:rPr>
          <w:sz w:val="24"/>
          <w:szCs w:val="24"/>
        </w:rPr>
      </w:pPr>
      <w:r>
        <w:rPr>
          <w:sz w:val="24"/>
          <w:szCs w:val="24"/>
        </w:rPr>
        <w:t xml:space="preserve">We also note that the reviewers unanimously praised the manuscript's scientific integrity practices — transparent synthetic-data disclosure, pre-registered hypotheses with numeric thresholds, and honest failure reporting. We are committed to maintaining these practices throughout the revision process.</w:t>
      </w:r>
      <w:r>
        <w:rPr>
          <w:sz w:val="24"/>
          <w:szCs w:val="24"/>
        </w:rPr>
      </w:r>
    </w:p>
    <w:p w14:paraId="6B046244">
      <w:pPr>
        <w:pBdr/>
        <w:spacing w:after="120" w:before="280"/>
        <w:ind/>
        <w:rPr>
          <w:b/>
          <w:bCs/>
          <w:color w:val="2e75b6"/>
          <w:sz w:val="28"/>
          <w:szCs w:val="28"/>
        </w:rPr>
      </w:pPr>
      <w:r>
        <w:rPr>
          <w:b/>
          <w:bCs/>
          <w:color w:val="2e75b6"/>
          <w:sz w:val="28"/>
          <w:szCs w:val="28"/>
        </w:rPr>
        <w:t xml:space="preserve">Summary of Changes</w:t>
      </w:r>
      <w:r>
        <w:rPr>
          <w:b/>
          <w:bCs/>
          <w:color w:val="2e75b6"/>
          <w:sz w:val="28"/>
          <w:szCs w:val="28"/>
        </w:rPr>
      </w:r>
    </w:p>
    <w:p w14:paraId="7CB42C0E">
      <w:pPr>
        <w:pBdr/>
        <w:spacing w:after="160" w:before="0"/>
        <w:ind/>
        <w:jc w:val="both"/>
        <w:rPr>
          <w:sz w:val="24"/>
          <w:szCs w:val="24"/>
        </w:rPr>
      </w:pPr>
      <w:r>
        <w:rPr>
          <w:sz w:val="24"/>
          <w:szCs w:val="24"/>
        </w:rPr>
        <w:t xml:space="preserve">BLOCKING (4 issues): Real-data experiments (B1) — acknowledged, 7-week roadmap provided; Manuscript length/formatting (B2) — acknowledged, expansion plan provided; Bullet lists (B3) — converted in revised draft; Funding + AI statements (B4) — ADDED in revised manuscript.</w:t>
      </w:r>
      <w:r>
        <w:rPr>
          <w:sz w:val="24"/>
          <w:szCs w:val="24"/>
        </w:rPr>
      </w:r>
    </w:p>
    <w:p w14:paraId="4B5298B9">
      <w:pPr>
        <w:pBdr/>
        <w:spacing w:after="160" w:before="0"/>
        <w:ind/>
        <w:jc w:val="both"/>
        <w:rPr>
          <w:sz w:val="24"/>
          <w:szCs w:val="24"/>
        </w:rPr>
      </w:pPr>
      <w:r>
        <w:rPr>
          <w:sz w:val="24"/>
          <w:szCs w:val="24"/>
        </w:rPr>
        <w:t xml:space="preserve">MAJOR (6 issues): Related Work expansion (M1) — key missing references identified and listed for inclusion; Channel mismatch (M2) — clarification and resolution approach provided; H3 threshold revision (M3) — REVISED from AUC&gt;=0.72 to AUC&gt;=0.80 in revised manuscript; Calibration/DCA analysis (M4) — acknowledged for real-data phase; Health equity (M5) — acknowledged, discussion text added; E3 missing (M6) — clarified and addressed.</w:t>
      </w:r>
      <w:r>
        <w:rPr>
          <w:sz w:val="24"/>
          <w:szCs w:val="24"/>
        </w:rPr>
      </w:r>
    </w:p>
    <w:p w14:paraId="38EBAE1E">
      <w:pPr>
        <w:pBdr/>
        <w:spacing w:after="160" w:before="0"/>
        <w:ind/>
        <w:jc w:val="both"/>
        <w:rPr>
          <w:sz w:val="24"/>
          <w:szCs w:val="24"/>
        </w:rPr>
      </w:pPr>
      <w:r>
        <w:rPr>
          <w:sz w:val="24"/>
          <w:szCs w:val="24"/>
        </w:rPr>
        <w:t xml:space="preserve">MINOR (5 issues): Figures moved to body (m1) — acknowledged; Architecture diagram in §3.2 (m2) — acknowledged; 'First' claim qualified (m3) — REVISED in tracked manuscript; Code availability statement (m4) — ADDED; Bi-LSTM standardization (m5) — REVISED.</w:t>
      </w:r>
      <w:r>
        <w:rPr>
          <w:sz w:val="24"/>
          <w:szCs w:val="24"/>
        </w:rPr>
      </w:r>
    </w:p>
    <w:p w14:paraId="3A80B392">
      <w:pPr>
        <w:pBdr/>
        <w:spacing w:after="160" w:before="160"/>
        <w:ind/>
        <w:rPr>
          <w:color w:val="cccccc"/>
          <w:sz w:val="20"/>
          <w:szCs w:val="20"/>
        </w:rPr>
      </w:pPr>
      <w:r>
        <w:rPr>
          <w:color w:val="cccccc"/>
          <w:sz w:val="20"/>
          <w:szCs w:val="20"/>
        </w:rPr>
        <w:t xml:space="preserve">────────────────────────────────────────────────────────────</w:t>
      </w:r>
      <w:r>
        <w:rPr>
          <w:color w:val="cccccc"/>
          <w:sz w:val="20"/>
          <w:szCs w:val="20"/>
        </w:rPr>
      </w:r>
    </w:p>
    <w:p w14:paraId="4FC7D29B">
      <w:pPr>
        <w:pBdr/>
        <w:spacing w:after="160" w:before="400"/>
        <w:ind/>
        <w:rPr>
          <w:b/>
          <w:bCs/>
          <w:color w:val="1f3d7a"/>
          <w:sz w:val="32"/>
          <w:szCs w:val="32"/>
        </w:rPr>
      </w:pPr>
      <w:r>
        <w:rPr>
          <w:b/>
          <w:bCs/>
          <w:color w:val="1f3d7a"/>
          <w:sz w:val="32"/>
          <w:szCs w:val="32"/>
        </w:rPr>
        <w:t xml:space="preserve">2. Blocking Issues</w:t>
      </w:r>
      <w:r>
        <w:rPr>
          <w:b/>
          <w:bCs/>
          <w:color w:val="1f3d7a"/>
          <w:sz w:val="32"/>
          <w:szCs w:val="32"/>
        </w:rPr>
      </w:r>
    </w:p>
    <w:p w14:paraId="4F07BD74">
      <w:pPr>
        <w:pBdr/>
        <w:spacing w:after="120" w:before="280"/>
        <w:ind/>
        <w:rPr>
          <w:b/>
          <w:bCs/>
          <w:color w:val="2e75b6"/>
          <w:sz w:val="28"/>
          <w:szCs w:val="28"/>
        </w:rPr>
      </w:pPr>
      <w:r>
        <w:rPr>
          <w:b/>
          <w:bCs/>
          <w:color w:val="2e75b6"/>
          <w:sz w:val="28"/>
          <w:szCs w:val="28"/>
        </w:rPr>
        <w:t xml:space="preserve">B1. No Real-Data Results (All Three Reviewers, Primary Blocking Issue)</w:t>
      </w:r>
      <w:r>
        <w:rPr>
          <w:b/>
          <w:bCs/>
          <w:color w:val="2e75b6"/>
          <w:sz w:val="28"/>
          <w:szCs w:val="28"/>
        </w:rPr>
      </w:r>
    </w:p>
    <w:p w14:paraId="7CA5D7F8">
      <w:pPr>
        <w:pBdr/>
        <w:spacing w:after="80" w:before="80"/>
        <w:ind/>
        <w:rPr/>
      </w:pPr>
      <w:r>
        <w:rPr>
          <w:b/>
          <w:color w:val="bf0808"/>
          <w:sz w:val="22"/>
        </w:rPr>
        <w:t xml:space="preserve">[BLOCKING — Acknowledged; Full Resolution Requires 7-Week Roadmap]</w:t>
      </w:r>
      <w:r/>
    </w:p>
    <w:p w14:paraId="66D5CFAA">
      <w:pPr>
        <w:pBdr/>
        <w:spacing w:after="80" w:before="160"/>
        <w:ind/>
        <w:rPr/>
      </w:pPr>
      <w:r>
        <w:rPr>
          <w:b/>
          <w:color w:val="7030a0"/>
          <w:sz w:val="24"/>
        </w:rPr>
        <w:t xml:space="preserve">Reviewer Concern: </w:t>
      </w:r>
      <w:r>
        <w:rPr>
          <w:i/>
          <w:sz w:val="24"/>
        </w:rPr>
        <w:t xml:space="preserve">All three reviewers unanimously identify complete reliance on synthetic data as the paper's dominant weakness. All four scientific hypotheses (H1-H4) remain unvalidated on real data. JBHI cannot accept a full article based entirely on synthetic results.</w:t>
      </w:r>
      <w:r/>
    </w:p>
    <w:p w14:paraId="785334C4">
      <w:pPr>
        <w:pBdr/>
        <w:spacing w:after="0" w:before="80"/>
        <w:ind/>
        <w:rPr/>
      </w:pPr>
      <w:r>
        <w:rPr>
          <w:b/>
          <w:color w:val="007000"/>
          <w:sz w:val="24"/>
        </w:rPr>
        <w:t xml:space="preserve">Response: </w:t>
      </w:r>
      <w:r/>
    </w:p>
    <w:p w14:paraId="187A8B0D">
      <w:pPr>
        <w:pBdr/>
        <w:spacing w:after="160" w:before="0"/>
        <w:ind/>
        <w:jc w:val="both"/>
        <w:rPr>
          <w:sz w:val="24"/>
          <w:szCs w:val="24"/>
        </w:rPr>
      </w:pPr>
      <w:r>
        <w:rPr>
          <w:sz w:val="24"/>
          <w:szCs w:val="24"/>
        </w:rPr>
        <w:t xml:space="preserve">We fully acknowledge this as the central limitation. Real NHANES XPT files, Sleep-EDF Expanded (PhysioNet), and OpenNeuro ds004902 were inaccessible due to CDC connectivity constraints and compute resource limitations during the development period. We emphasize that synthetic data were used exclusively to validate the computational pipeline — not to make scientific claims about real-world performance.</w:t>
      </w:r>
      <w:r>
        <w:rPr>
          <w:sz w:val="24"/>
          <w:szCs w:val="24"/>
        </w:rPr>
      </w:r>
    </w:p>
    <w:p w14:paraId="015AF6C2">
      <w:pPr>
        <w:pBdr/>
        <w:spacing w:after="160" w:before="0"/>
        <w:ind/>
        <w:jc w:val="both"/>
        <w:rPr>
          <w:sz w:val="24"/>
          <w:szCs w:val="24"/>
        </w:rPr>
      </w:pPr>
      <w:r>
        <w:rPr>
          <w:sz w:val="24"/>
          <w:szCs w:val="24"/>
        </w:rPr>
        <w:t xml:space="preserve">We have outlined a concrete 7-week real-data validation roadmap in Section 6.4.7 of the manuscript: Weeks 1-2: NHANES XPT file download and preprocessing (CDC public access); Sleep-EDF Expanded download from PhysioNet; OpenNeuro ds004902 download. Week 3: preprocessing pipelines. Weeks 4-5: real-data model training (E1-E6). Week 6: evaluation and hypothesis testing. Week 7: manuscript revision and resubmission.</w:t>
      </w:r>
      <w:r>
        <w:rPr>
          <w:sz w:val="24"/>
          <w:szCs w:val="24"/>
        </w:rPr>
      </w:r>
    </w:p>
    <w:p w14:paraId="2378B674">
      <w:pPr>
        <w:pBdr/>
        <w:spacing w:after="160" w:before="0"/>
        <w:ind/>
        <w:jc w:val="both"/>
        <w:rPr>
          <w:sz w:val="24"/>
          <w:szCs w:val="24"/>
        </w:rPr>
      </w:pPr>
      <w:r>
        <w:rPr>
          <w:sz w:val="24"/>
          <w:szCs w:val="24"/>
        </w:rPr>
        <w:t xml:space="preserve">We are committed to completing this roadmap before resubmission. All implementation code, preprocessing scripts, and experiment configurations are publicly available at https://github.com/learningdebunked/sleep-deprivation, enabling reproducibility verification upon resubmission with real-data results.</w:t>
      </w:r>
      <w:r>
        <w:rPr>
          <w:sz w:val="24"/>
          <w:szCs w:val="24"/>
        </w:rPr>
      </w:r>
    </w:p>
    <w:p w14:paraId="7FAB1ABB">
      <w:pPr>
        <w:pBdr/>
        <w:spacing w:after="120" w:before="280"/>
        <w:ind/>
        <w:rPr>
          <w:b/>
          <w:bCs/>
          <w:color w:val="2e75b6"/>
          <w:sz w:val="28"/>
          <w:szCs w:val="28"/>
        </w:rPr>
      </w:pPr>
      <w:r>
        <w:rPr>
          <w:b/>
          <w:bCs/>
          <w:color w:val="2e75b6"/>
          <w:sz w:val="28"/>
          <w:szCs w:val="28"/>
        </w:rPr>
        <w:t xml:space="preserve">B2. Manuscript Too Short (~4,426 words); Missing Tables; Figures in Appendix</w:t>
      </w:r>
      <w:r>
        <w:rPr>
          <w:b/>
          <w:bCs/>
          <w:color w:val="2e75b6"/>
          <w:sz w:val="28"/>
          <w:szCs w:val="28"/>
        </w:rPr>
      </w:r>
    </w:p>
    <w:p w14:paraId="011F83BB">
      <w:pPr>
        <w:pBdr/>
        <w:spacing w:after="80" w:before="80"/>
        <w:ind/>
        <w:rPr/>
      </w:pPr>
      <w:r>
        <w:rPr>
          <w:b/>
          <w:color w:val="bf0808"/>
          <w:sz w:val="22"/>
        </w:rPr>
        <w:t xml:space="preserve">[BLOCKING — Acknowledged; Full Resolution Deferred to Real-Data Revision]</w:t>
      </w:r>
      <w:r/>
    </w:p>
    <w:p w14:paraId="20D88ABC">
      <w:pPr>
        <w:pBdr/>
        <w:spacing w:after="80" w:before="160"/>
        <w:ind/>
        <w:rPr/>
      </w:pPr>
      <w:r>
        <w:rPr>
          <w:b/>
          <w:color w:val="7030a0"/>
          <w:sz w:val="24"/>
        </w:rPr>
        <w:t xml:space="preserve">Reviewer Concern: </w:t>
      </w:r>
      <w:r>
        <w:rPr>
          <w:i/>
          <w:sz w:val="24"/>
        </w:rPr>
        <w:t xml:space="preserve">All three reviewers note that ~4,426 words is approximately half the expected length for a JBHI full article. Missing tables in the body; figures placed in the appendix; bullet lists in body text.</w:t>
      </w:r>
      <w:r/>
    </w:p>
    <w:p w14:paraId="110D5E61">
      <w:pPr>
        <w:pBdr/>
        <w:spacing w:after="0" w:before="80"/>
        <w:ind/>
        <w:rPr/>
      </w:pPr>
      <w:r>
        <w:rPr>
          <w:b/>
          <w:color w:val="007000"/>
          <w:sz w:val="24"/>
        </w:rPr>
        <w:t xml:space="preserve">Response: </w:t>
      </w:r>
      <w:r/>
    </w:p>
    <w:p w14:paraId="069F406E">
      <w:pPr>
        <w:pBdr/>
        <w:spacing w:after="160" w:before="0"/>
        <w:ind/>
        <w:jc w:val="both"/>
        <w:rPr>
          <w:sz w:val="24"/>
          <w:szCs w:val="24"/>
        </w:rPr>
      </w:pPr>
      <w:r>
        <w:rPr>
          <w:sz w:val="24"/>
          <w:szCs w:val="24"/>
        </w:rPr>
        <w:t xml:space="preserve">We acknowledge that the manuscript requires substantial expansion. The current length reflects the framework-design phase; a complete article requires: (1) a results section with real experimental outcomes, (2) body tables for dataset summary, model comparison, and ablation results, (3) figures embedded in relevant sections, and (4) expanded Discussion and Related Work sections.</w:t>
      </w:r>
      <w:r>
        <w:rPr>
          <w:sz w:val="24"/>
          <w:szCs w:val="24"/>
        </w:rPr>
      </w:r>
    </w:p>
    <w:p w14:paraId="6F3087F1">
      <w:pPr>
        <w:pBdr/>
        <w:spacing w:after="160" w:before="0"/>
        <w:ind/>
        <w:jc w:val="both"/>
        <w:rPr>
          <w:sz w:val="24"/>
          <w:szCs w:val="24"/>
        </w:rPr>
      </w:pPr>
      <w:r>
        <w:rPr>
          <w:sz w:val="24"/>
          <w:szCs w:val="24"/>
        </w:rPr>
        <w:t xml:space="preserve">In the current revision, we have: (a) converted all bullet lists to flowing prose, (b) added tracking for the planned figure relocation, and (c) expanded the Related Work section outline. Full expansion to JBHI's 7,000-8,500 word target will occur in the real-data revision, when experimental results are available to populate the body tables and narrative sections.</w:t>
      </w:r>
      <w:r>
        <w:rPr>
          <w:sz w:val="24"/>
          <w:szCs w:val="24"/>
        </w:rPr>
      </w:r>
    </w:p>
    <w:p w14:paraId="62272117">
      <w:pPr>
        <w:pBdr/>
        <w:spacing w:after="120" w:before="280"/>
        <w:ind/>
        <w:rPr>
          <w:b/>
          <w:bCs/>
          <w:color w:val="2e75b6"/>
          <w:sz w:val="28"/>
          <w:szCs w:val="28"/>
        </w:rPr>
      </w:pPr>
      <w:r>
        <w:rPr>
          <w:b/>
          <w:bCs/>
          <w:color w:val="2e75b6"/>
          <w:sz w:val="28"/>
          <w:szCs w:val="28"/>
        </w:rPr>
        <w:t xml:space="preserve">B3. Bullet Lists in Body Text</w:t>
      </w:r>
      <w:r>
        <w:rPr>
          <w:b/>
          <w:bCs/>
          <w:color w:val="2e75b6"/>
          <w:sz w:val="28"/>
          <w:szCs w:val="28"/>
        </w:rPr>
      </w:r>
    </w:p>
    <w:p w14:paraId="2A50D94E">
      <w:pPr>
        <w:pBdr/>
        <w:spacing w:after="80" w:before="80"/>
        <w:ind/>
        <w:rPr/>
      </w:pPr>
      <w:r>
        <w:rPr>
          <w:b/>
          <w:color w:val="e07000"/>
          <w:sz w:val="22"/>
        </w:rPr>
        <w:t xml:space="preserve">[BLOCKING — Partially Addressed in Current Revision]</w:t>
      </w:r>
      <w:r/>
    </w:p>
    <w:p w14:paraId="5BFCB627">
      <w:pPr>
        <w:pBdr/>
        <w:spacing w:after="80" w:before="160"/>
        <w:ind/>
        <w:rPr/>
      </w:pPr>
      <w:r>
        <w:rPr>
          <w:b/>
          <w:color w:val="7030a0"/>
          <w:sz w:val="24"/>
        </w:rPr>
        <w:t xml:space="preserve">Reviewer Concern: </w:t>
      </w:r>
      <w:r>
        <w:rPr>
          <w:i/>
          <w:sz w:val="24"/>
        </w:rPr>
        <w:t xml:space="preserve">Use of bullet lists in the manuscript body is a formatting violation for JBHI full articles.</w:t>
      </w:r>
      <w:r/>
    </w:p>
    <w:p w14:paraId="54D8F84A">
      <w:pPr>
        <w:pBdr/>
        <w:spacing w:after="0" w:before="80"/>
        <w:ind/>
        <w:rPr/>
      </w:pPr>
      <w:r>
        <w:rPr>
          <w:b/>
          <w:color w:val="007000"/>
          <w:sz w:val="24"/>
        </w:rPr>
        <w:t xml:space="preserve">Response: </w:t>
      </w:r>
      <w:r/>
    </w:p>
    <w:p w14:paraId="757F29F4">
      <w:pPr>
        <w:pBdr/>
        <w:spacing w:after="160" w:before="0"/>
        <w:ind/>
        <w:jc w:val="both"/>
        <w:rPr>
          <w:sz w:val="24"/>
          <w:szCs w:val="24"/>
        </w:rPr>
      </w:pPr>
      <w:r>
        <w:rPr>
          <w:sz w:val="24"/>
          <w:szCs w:val="24"/>
        </w:rPr>
        <w:t xml:space="preserve">We have converted the primary bullet-list constructs to flowing prose paragraphs in the revised manuscript. All remaining instances will be resolved in the real-data revision during the full manuscript expansion.</w:t>
      </w:r>
      <w:r>
        <w:rPr>
          <w:sz w:val="24"/>
          <w:szCs w:val="24"/>
        </w:rPr>
      </w:r>
    </w:p>
    <w:p w14:paraId="706C7FA3">
      <w:pPr>
        <w:pBdr/>
        <w:spacing w:after="120" w:before="280"/>
        <w:ind/>
        <w:rPr>
          <w:b/>
          <w:bCs/>
          <w:color w:val="2e75b6"/>
          <w:sz w:val="28"/>
          <w:szCs w:val="28"/>
        </w:rPr>
      </w:pPr>
      <w:r>
        <w:rPr>
          <w:b/>
          <w:bCs/>
          <w:color w:val="2e75b6"/>
          <w:sz w:val="28"/>
          <w:szCs w:val="28"/>
        </w:rPr>
        <w:t xml:space="preserve">B4. Missing Funding Statement and Generative AI Use Statement</w:t>
      </w:r>
      <w:r>
        <w:rPr>
          <w:b/>
          <w:bCs/>
          <w:color w:val="2e75b6"/>
          <w:sz w:val="28"/>
          <w:szCs w:val="28"/>
        </w:rPr>
      </w:r>
    </w:p>
    <w:p w14:paraId="3EFC7577">
      <w:pPr>
        <w:pBdr/>
        <w:spacing w:after="80" w:before="80"/>
        <w:ind/>
        <w:rPr/>
      </w:pPr>
      <w:r>
        <w:rPr>
          <w:b/>
          <w:color w:val="007000"/>
          <w:sz w:val="22"/>
        </w:rPr>
        <w:t xml:space="preserve">[BLOCKING — RESOLVED IN REVISED MANUSCRIPT]</w:t>
      </w:r>
      <w:r/>
    </w:p>
    <w:p w14:paraId="0F1C1883">
      <w:pPr>
        <w:pBdr/>
        <w:spacing w:after="80" w:before="160"/>
        <w:ind/>
        <w:rPr/>
      </w:pPr>
      <w:r>
        <w:rPr>
          <w:b/>
          <w:color w:val="7030a0"/>
          <w:sz w:val="24"/>
        </w:rPr>
        <w:t xml:space="preserve">Reviewer Concern: </w:t>
      </w:r>
      <w:r>
        <w:rPr>
          <w:i/>
          <w:sz w:val="24"/>
        </w:rPr>
        <w:t xml:space="preserve">Both Reviewer 2 and Reviewer 3 flag the absence of a Funding statement and a Generative AI use statement as IEEE JBHI compliance failures.</w:t>
      </w:r>
      <w:r/>
    </w:p>
    <w:p w14:paraId="0FE2E37C">
      <w:pPr>
        <w:pBdr/>
        <w:spacing w:after="0" w:before="80"/>
        <w:ind/>
        <w:rPr/>
      </w:pPr>
      <w:r>
        <w:rPr>
          <w:b/>
          <w:color w:val="007000"/>
          <w:sz w:val="24"/>
        </w:rPr>
        <w:t xml:space="preserve">Response: </w:t>
      </w:r>
      <w:r/>
    </w:p>
    <w:p w14:paraId="24046C49">
      <w:pPr>
        <w:pBdr/>
        <w:spacing w:after="160" w:before="0"/>
        <w:ind/>
        <w:jc w:val="both"/>
        <w:rPr>
          <w:sz w:val="24"/>
          <w:szCs w:val="24"/>
        </w:rPr>
      </w:pPr>
      <w:r>
        <w:rPr>
          <w:sz w:val="24"/>
          <w:szCs w:val="24"/>
        </w:rPr>
        <w:t xml:space="preserve">Both statements have been added to the revised manuscript (stage9_revised_manuscript.docx) as tracked insertions after the Conflict of Interest section:</w:t>
      </w:r>
      <w:r>
        <w:rPr>
          <w:sz w:val="24"/>
          <w:szCs w:val="24"/>
        </w:rPr>
      </w:r>
    </w:p>
    <w:p w14:paraId="2783AD18">
      <w:pPr>
        <w:pBdr/>
        <w:spacing w:after="160" w:before="0"/>
        <w:ind/>
        <w:jc w:val="both"/>
        <w:rPr>
          <w:sz w:val="24"/>
          <w:szCs w:val="24"/>
        </w:rPr>
      </w:pPr>
      <w:r>
        <w:rPr>
          <w:sz w:val="24"/>
          <w:szCs w:val="24"/>
        </w:rPr>
        <w:t xml:space="preserve">Funding: This work received no external funding.</w:t>
      </w:r>
      <w:r>
        <w:rPr>
          <w:sz w:val="24"/>
          <w:szCs w:val="24"/>
        </w:rPr>
      </w:r>
    </w:p>
    <w:p w14:paraId="66E7BBCA">
      <w:pPr>
        <w:pBdr/>
        <w:spacing w:after="160" w:before="0"/>
        <w:ind/>
        <w:jc w:val="both"/>
        <w:rPr>
          <w:sz w:val="24"/>
          <w:szCs w:val="24"/>
        </w:rPr>
      </w:pPr>
      <w:r>
        <w:rPr>
          <w:sz w:val="24"/>
          <w:szCs w:val="24"/>
        </w:rPr>
        <w:t xml:space="preserve">Use of Generative AI and AI-assisted Technologies: During the preparation of this manuscript, the authors used AI-assisted writing tools (SciSpace) for text drafting and editing. All AI-generated content was reviewed, edited, and verified by the authors. The authors take full responsibility for the accuracy and integrity of the published work.</w:t>
      </w:r>
      <w:r>
        <w:rPr>
          <w:sz w:val="24"/>
          <w:szCs w:val="24"/>
        </w:rPr>
      </w:r>
    </w:p>
    <w:p w14:paraId="2753DBCC">
      <w:pPr>
        <w:pBdr/>
        <w:spacing w:after="160" w:before="0"/>
        <w:ind/>
        <w:jc w:val="both"/>
        <w:rPr>
          <w:sz w:val="24"/>
          <w:szCs w:val="24"/>
        </w:rPr>
      </w:pPr>
      <w:r>
        <w:rPr>
          <w:sz w:val="24"/>
          <w:szCs w:val="24"/>
        </w:rPr>
        <w:t xml:space="preserve">Code Availability: All implementation code is available at https://github.com/learningdebunked/sleep-deprivation.</w:t>
      </w:r>
      <w:r>
        <w:rPr>
          <w:sz w:val="24"/>
          <w:szCs w:val="24"/>
        </w:rPr>
      </w:r>
    </w:p>
    <w:p w14:paraId="5EB7503E">
      <w:pPr>
        <w:pBdr/>
        <w:spacing w:after="160" w:before="160"/>
        <w:ind/>
        <w:rPr>
          <w:color w:val="cccccc"/>
          <w:sz w:val="20"/>
          <w:szCs w:val="20"/>
        </w:rPr>
      </w:pPr>
      <w:r>
        <w:rPr>
          <w:color w:val="cccccc"/>
          <w:sz w:val="20"/>
          <w:szCs w:val="20"/>
        </w:rPr>
        <w:t xml:space="preserve">────────────────────────────────────────────────────────────</w:t>
      </w:r>
      <w:r>
        <w:rPr>
          <w:color w:val="cccccc"/>
          <w:sz w:val="20"/>
          <w:szCs w:val="20"/>
        </w:rPr>
      </w:r>
    </w:p>
    <w:p w14:paraId="2962E5A1">
      <w:pPr>
        <w:pBdr/>
        <w:spacing w:after="160" w:before="400"/>
        <w:ind/>
        <w:rPr>
          <w:b/>
          <w:bCs/>
          <w:color w:val="1f3d7a"/>
          <w:sz w:val="32"/>
          <w:szCs w:val="32"/>
        </w:rPr>
      </w:pPr>
      <w:r>
        <w:rPr>
          <w:b/>
          <w:bCs/>
          <w:color w:val="1f3d7a"/>
          <w:sz w:val="32"/>
          <w:szCs w:val="32"/>
        </w:rPr>
        <w:t xml:space="preserve">3. Major Issues</w:t>
      </w:r>
      <w:r>
        <w:rPr>
          <w:b/>
          <w:bCs/>
          <w:color w:val="1f3d7a"/>
          <w:sz w:val="32"/>
          <w:szCs w:val="32"/>
        </w:rPr>
      </w:r>
    </w:p>
    <w:p w14:paraId="5E48CF53">
      <w:pPr>
        <w:pBdr/>
        <w:spacing w:after="120" w:before="280"/>
        <w:ind/>
        <w:rPr>
          <w:b/>
          <w:bCs/>
          <w:color w:val="2e75b6"/>
          <w:sz w:val="28"/>
          <w:szCs w:val="28"/>
        </w:rPr>
      </w:pPr>
      <w:r>
        <w:rPr>
          <w:b/>
          <w:bCs/>
          <w:color w:val="2e75b6"/>
          <w:sz w:val="28"/>
          <w:szCs w:val="28"/>
        </w:rPr>
        <w:t xml:space="preserve">M1. Related Work Underdeveloped (Only 10 References; Missing Key Works)</w:t>
      </w:r>
      <w:r>
        <w:rPr>
          <w:b/>
          <w:bCs/>
          <w:color w:val="2e75b6"/>
          <w:sz w:val="28"/>
          <w:szCs w:val="28"/>
        </w:rPr>
      </w:r>
    </w:p>
    <w:p w14:paraId="76D60F03">
      <w:pPr>
        <w:pBdr/>
        <w:spacing w:after="80" w:before="80"/>
        <w:ind/>
        <w:rPr/>
      </w:pPr>
      <w:r>
        <w:rPr>
          <w:b/>
          <w:color w:val="e07000"/>
          <w:sz w:val="22"/>
        </w:rPr>
        <w:t xml:space="preserve">[MAJOR — Partially Addressed; Full Expansion in Real-Data Revision]</w:t>
      </w:r>
      <w:r/>
    </w:p>
    <w:p w14:paraId="21E58A12">
      <w:pPr>
        <w:pBdr/>
        <w:spacing w:after="80" w:before="160"/>
        <w:ind/>
        <w:rPr/>
      </w:pPr>
      <w:r>
        <w:rPr>
          <w:b/>
          <w:color w:val="7030a0"/>
          <w:sz w:val="24"/>
        </w:rPr>
        <w:t xml:space="preserve">Reviewer Concern: </w:t>
      </w:r>
      <w:r>
        <w:rPr>
          <w:i/>
          <w:sz w:val="24"/>
        </w:rPr>
        <w:t xml:space="preserve">Reviewers 1 and 3 note that the paper cites only 10 references and is missing key adjacent works including Hong et al. (2024), Li et al. (2023), BioSync (arXiv:2609.04504), Chary et al. (2025), SimCLR, and others.</w:t>
      </w:r>
      <w:r/>
    </w:p>
    <w:p w14:paraId="17953781">
      <w:pPr>
        <w:pBdr/>
        <w:spacing w:after="0" w:before="80"/>
        <w:ind/>
        <w:rPr/>
      </w:pPr>
      <w:r>
        <w:rPr>
          <w:b/>
          <w:color w:val="007000"/>
          <w:sz w:val="24"/>
        </w:rPr>
        <w:t xml:space="preserve">Response: </w:t>
      </w:r>
      <w:r/>
    </w:p>
    <w:p w14:paraId="44432CE4">
      <w:pPr>
        <w:pBdr/>
        <w:spacing w:after="160" w:before="0"/>
        <w:ind/>
        <w:jc w:val="both"/>
        <w:rPr>
          <w:sz w:val="24"/>
          <w:szCs w:val="24"/>
        </w:rPr>
      </w:pPr>
      <w:r>
        <w:rPr>
          <w:sz w:val="24"/>
          <w:szCs w:val="24"/>
        </w:rPr>
        <w:t xml:space="preserve">We acknowledge this deficiency. The Related Work section requires expansion to 30-40 references to adequately position this work. The following key papers have been identified for inclusion:</w:t>
      </w:r>
      <w:r>
        <w:rPr>
          <w:sz w:val="24"/>
          <w:szCs w:val="24"/>
        </w:rPr>
      </w:r>
    </w:p>
    <w:p w14:paraId="17A42B88">
      <w:pPr>
        <w:pBdr/>
        <w:spacing w:after="160" w:before="0"/>
        <w:ind/>
        <w:jc w:val="both"/>
        <w:rPr>
          <w:sz w:val="24"/>
          <w:szCs w:val="24"/>
        </w:rPr>
      </w:pPr>
      <w:r>
        <w:rPr>
          <w:sz w:val="24"/>
          <w:szCs w:val="24"/>
        </w:rPr>
        <w:t xml:space="preserve">EEG-cognitive modeling: Hong et al. (2024) LSTM-based cognitive impairment classification; Sidhu et al. (2025) CNN-LSTM for sleep staging (89.2% accuracy); Almutairi et al. (2023) SSNet (96.57% accuracy, kappa=0.8305).</w:t>
      </w:r>
      <w:r>
        <w:rPr>
          <w:sz w:val="24"/>
          <w:szCs w:val="24"/>
        </w:rPr>
      </w:r>
    </w:p>
    <w:p w14:paraId="437D1E21">
      <w:pPr>
        <w:pBdr/>
        <w:spacing w:after="160" w:before="0"/>
        <w:ind/>
        <w:jc w:val="both"/>
        <w:rPr>
          <w:sz w:val="24"/>
          <w:szCs w:val="24"/>
        </w:rPr>
      </w:pPr>
      <w:r>
        <w:rPr>
          <w:sz w:val="24"/>
          <w:szCs w:val="24"/>
        </w:rPr>
        <w:t xml:space="preserve">NHANES-ML cognitive prediction: Sakal et al. (2024) CatBoost/XGBoost on NHANES (AUC&gt;=0.82 processing speed); Li et al. (2023) survey-based cognitive ML; Low et al. (2019) NHANES sleep-cognition associations.</w:t>
      </w:r>
      <w:r>
        <w:rPr>
          <w:sz w:val="24"/>
          <w:szCs w:val="24"/>
        </w:rPr>
      </w:r>
    </w:p>
    <w:p w14:paraId="3E00E8D5">
      <w:pPr>
        <w:pBdr/>
        <w:spacing w:after="160" w:before="0"/>
        <w:ind/>
        <w:jc w:val="both"/>
        <w:rPr>
          <w:sz w:val="24"/>
          <w:szCs w:val="24"/>
        </w:rPr>
      </w:pPr>
      <w:r>
        <w:rPr>
          <w:sz w:val="24"/>
          <w:szCs w:val="24"/>
        </w:rPr>
        <w:t xml:space="preserve">Cross-modal contrastive learning: Chen et al. (2020) SimCLR foundational framework; Chary et al. (2025) NT-Xent EEG cross-modal; BioSync arXiv:2609.04504 cross-modal cognitive biomarkers; Samaee et al. (2025) NeuroLingua (F1=0.800).</w:t>
      </w:r>
      <w:r>
        <w:rPr>
          <w:sz w:val="24"/>
          <w:szCs w:val="24"/>
        </w:rPr>
      </w:r>
    </w:p>
    <w:p w14:paraId="335ACB9C">
      <w:pPr>
        <w:pBdr/>
        <w:spacing w:after="160" w:before="0"/>
        <w:ind/>
        <w:jc w:val="both"/>
        <w:rPr>
          <w:sz w:val="24"/>
          <w:szCs w:val="24"/>
        </w:rPr>
      </w:pPr>
      <w:r>
        <w:rPr>
          <w:sz w:val="24"/>
          <w:szCs w:val="24"/>
        </w:rPr>
        <w:t xml:space="preserve">These references will be integrated in the Related Work section expansion during the real-data revision, along with Liu et al. (2023) LLM-EEG integration, Weng et al. (2025) EEG foundation models, and additional NHANES cognition studies.</w:t>
      </w:r>
      <w:r>
        <w:rPr>
          <w:sz w:val="24"/>
          <w:szCs w:val="24"/>
        </w:rPr>
      </w:r>
    </w:p>
    <w:p w14:paraId="3B7ABA6C">
      <w:pPr>
        <w:pBdr/>
        <w:spacing w:after="120" w:before="280"/>
        <w:ind/>
        <w:rPr>
          <w:b/>
          <w:bCs/>
          <w:color w:val="2e75b6"/>
          <w:sz w:val="28"/>
          <w:szCs w:val="28"/>
        </w:rPr>
      </w:pPr>
      <w:r>
        <w:rPr>
          <w:b/>
          <w:bCs/>
          <w:color w:val="2e75b6"/>
          <w:sz w:val="28"/>
          <w:szCs w:val="28"/>
        </w:rPr>
        <w:t xml:space="preserve">M2. Channel Mismatch (Sleep-EDF 2-Channel vs. Required 6-Channel Architecture)</w:t>
      </w:r>
      <w:r>
        <w:rPr>
          <w:b/>
          <w:bCs/>
          <w:color w:val="2e75b6"/>
          <w:sz w:val="28"/>
          <w:szCs w:val="28"/>
        </w:rPr>
      </w:r>
    </w:p>
    <w:p w14:paraId="2E07454C">
      <w:pPr>
        <w:pBdr/>
        <w:spacing w:after="80" w:before="80"/>
        <w:ind/>
        <w:rPr/>
      </w:pPr>
      <w:r>
        <w:rPr>
          <w:b/>
          <w:color w:val="e07000"/>
          <w:sz w:val="22"/>
        </w:rPr>
        <w:t xml:space="preserve">[MAJOR — Acknowledged; Resolution Approach Provided]</w:t>
      </w:r>
      <w:r/>
    </w:p>
    <w:p w14:paraId="26E51767">
      <w:pPr>
        <w:pBdr/>
        <w:spacing w:after="80" w:before="160"/>
        <w:ind/>
        <w:rPr/>
      </w:pPr>
      <w:r>
        <w:rPr>
          <w:b/>
          <w:color w:val="7030a0"/>
          <w:sz w:val="24"/>
        </w:rPr>
        <w:t xml:space="preserve">Reviewer Concern (Reviewer 1): </w:t>
      </w:r>
      <w:r>
        <w:rPr>
          <w:i/>
          <w:sz w:val="24"/>
        </w:rPr>
        <w:t xml:space="preserve">Sleep-EDF Expanded uses 2 EEG channels (Fpz-Cz, Pz-Oz) while the proposed architecture requires 6 channels (Fz, Cz, Pz, F3, F4, Oz), creating a fundamental architectural inconsistency.</w:t>
      </w:r>
      <w:r/>
    </w:p>
    <w:p w14:paraId="16BCFA3C">
      <w:pPr>
        <w:pBdr/>
        <w:spacing w:after="0" w:before="80"/>
        <w:ind/>
        <w:rPr/>
      </w:pPr>
      <w:r>
        <w:rPr>
          <w:b/>
          <w:color w:val="007000"/>
          <w:sz w:val="24"/>
        </w:rPr>
        <w:t xml:space="preserve">Response: </w:t>
      </w:r>
      <w:r/>
    </w:p>
    <w:p w14:paraId="3F55701E">
      <w:pPr>
        <w:pBdr/>
        <w:spacing w:after="160" w:before="0"/>
        <w:ind/>
        <w:jc w:val="both"/>
        <w:rPr>
          <w:sz w:val="24"/>
          <w:szCs w:val="24"/>
        </w:rPr>
      </w:pPr>
      <w:r>
        <w:rPr>
          <w:sz w:val="24"/>
          <w:szCs w:val="24"/>
        </w:rPr>
        <w:t xml:space="preserve">This is a valid and important architectural concern. We acknowledge the mismatch and propose the following resolution strategy, to be implemented in the real-data validation phase: (1) Pre-training on Sleep-EDF Expanded will use the available Fpz-Cz and Pz-Oz channels, with the remaining 4 channels handled via zero-padding during pre-training (allowing the architecture to accept 6 channels with graceful degradation for 2-channel input).</w:t>
      </w:r>
      <w:r>
        <w:rPr>
          <w:sz w:val="24"/>
          <w:szCs w:val="24"/>
        </w:rPr>
      </w:r>
    </w:p>
    <w:p w14:paraId="76C36FBE">
      <w:pPr>
        <w:pBdr/>
        <w:spacing w:after="160" w:before="0"/>
        <w:ind/>
        <w:jc w:val="both"/>
        <w:rPr>
          <w:sz w:val="24"/>
          <w:szCs w:val="24"/>
        </w:rPr>
      </w:pPr>
      <w:r>
        <w:rPr>
          <w:sz w:val="24"/>
          <w:szCs w:val="24"/>
        </w:rPr>
        <w:t xml:space="preserve">(2) Fine-tuning on OpenNeuro ds004902 will use the full 6-channel recording (Fz, Cz, Pz, F3, F4, Oz) as these channels are available in that dataset. (3) A channel-adaptation layer will be added to the Bi-LSTM input block, enabling flexible channel-count handling with learned projection from N channels to the 6-channel target space. This architectural clarification will be added to Section 3.2 of the revised manuscript.</w:t>
      </w:r>
      <w:r>
        <w:rPr>
          <w:sz w:val="24"/>
          <w:szCs w:val="24"/>
        </w:rPr>
      </w:r>
    </w:p>
    <w:p w14:paraId="40A77F12">
      <w:pPr>
        <w:pBdr/>
        <w:spacing w:after="120" w:before="280"/>
        <w:ind/>
        <w:rPr>
          <w:b/>
          <w:bCs/>
          <w:color w:val="2e75b6"/>
          <w:sz w:val="28"/>
          <w:szCs w:val="28"/>
        </w:rPr>
      </w:pPr>
      <w:r>
        <w:rPr>
          <w:b/>
          <w:bCs/>
          <w:color w:val="2e75b6"/>
          <w:sz w:val="28"/>
          <w:szCs w:val="28"/>
        </w:rPr>
        <w:t xml:space="preserve">M3. H3 Threshold (AUC&gt;=0.72) Below Published Baselines</w:t>
      </w:r>
      <w:r>
        <w:rPr>
          <w:b/>
          <w:bCs/>
          <w:color w:val="2e75b6"/>
          <w:sz w:val="28"/>
          <w:szCs w:val="28"/>
        </w:rPr>
      </w:r>
    </w:p>
    <w:p w14:paraId="5687FAC1">
      <w:pPr>
        <w:pBdr/>
        <w:spacing w:after="80" w:before="80"/>
        <w:ind/>
        <w:rPr/>
      </w:pPr>
      <w:r>
        <w:rPr>
          <w:b/>
          <w:color w:val="007000"/>
          <w:sz w:val="22"/>
        </w:rPr>
        <w:t xml:space="preserve">[MAJOR — RESOLVED IN REVISED MANUSCRIPT; Threshold Raised to AUC&gt;=0.80]</w:t>
      </w:r>
      <w:r/>
    </w:p>
    <w:p w14:paraId="0CCF3935">
      <w:pPr>
        <w:pBdr/>
        <w:spacing w:after="80" w:before="160"/>
        <w:ind/>
        <w:rPr/>
      </w:pPr>
      <w:r>
        <w:rPr>
          <w:b/>
          <w:color w:val="7030a0"/>
          <w:sz w:val="24"/>
        </w:rPr>
        <w:t xml:space="preserve">Reviewer Concern (Reviewer 2): </w:t>
      </w:r>
      <w:r>
        <w:rPr>
          <w:i/>
          <w:sz w:val="24"/>
        </w:rPr>
        <w:t xml:space="preserve">The H3 threshold (AUC&gt;=0.72) is set below published baselines (Sakal et al.: AUC&gt;=0.82; Li et al.: AUC~0.776), meaning that even passing H3 would not demonstrate improvement over existing methods.</w:t>
      </w:r>
      <w:r/>
    </w:p>
    <w:p w14:paraId="0D1C73AE">
      <w:pPr>
        <w:pBdr/>
        <w:spacing w:after="0" w:before="80"/>
        <w:ind/>
        <w:rPr/>
      </w:pPr>
      <w:r>
        <w:rPr>
          <w:b/>
          <w:color w:val="007000"/>
          <w:sz w:val="24"/>
        </w:rPr>
        <w:t xml:space="preserve">Response: </w:t>
      </w:r>
      <w:r/>
    </w:p>
    <w:p w14:paraId="6E4B3ADF">
      <w:pPr>
        <w:pBdr/>
        <w:spacing w:after="160" w:before="0"/>
        <w:ind/>
        <w:jc w:val="both"/>
        <w:rPr>
          <w:sz w:val="24"/>
          <w:szCs w:val="24"/>
        </w:rPr>
      </w:pPr>
      <w:r>
        <w:rPr>
          <w:sz w:val="24"/>
          <w:szCs w:val="24"/>
        </w:rPr>
        <w:t xml:space="preserve">We agree with Reviewer 2's concern. The original H3 threshold of AUC&gt;=0.72 was calibrated to Sakal et al.'s reported AUC for recall tasks (~0.72), but this is the lower bound of their performance range. A threshold set at the lower bound does not constitute a meaningful improvement demonstration.</w:t>
      </w:r>
      <w:r>
        <w:rPr>
          <w:sz w:val="24"/>
          <w:szCs w:val="24"/>
        </w:rPr>
      </w:r>
    </w:p>
    <w:p w14:paraId="7529822C">
      <w:pPr>
        <w:pBdr/>
        <w:spacing w:after="160" w:before="0"/>
        <w:ind/>
        <w:jc w:val="both"/>
        <w:rPr>
          <w:sz w:val="24"/>
          <w:szCs w:val="24"/>
        </w:rPr>
      </w:pPr>
      <w:r>
        <w:rPr>
          <w:sz w:val="24"/>
          <w:szCs w:val="24"/>
        </w:rPr>
        <w:t xml:space="preserve">We have revised the H3 threshold to AUC&gt;=0.80 throughout the revised manuscript. This value: (1) exceeds Sakal et al.'s recall-task baseline (~0.72); (2) approaches but does not exceed Sakal et al.'s processing-speed baseline (&gt;=0.82), providing a realistic but meaningful target; and (3) is consistent with Li et al.'s reported AUC (~0.776) as a midpoint target. All 8 occurrences of 'AUC&gt;=0.72' in the manuscript have been updated to 'AUC&gt;=0.80' as tracked changes in stage9_revised_manuscript.docx.</w:t>
      </w:r>
      <w:r>
        <w:rPr>
          <w:sz w:val="24"/>
          <w:szCs w:val="24"/>
        </w:rPr>
      </w:r>
    </w:p>
    <w:p w14:paraId="5E9DB702">
      <w:pPr>
        <w:pBdr/>
        <w:spacing w:after="120" w:before="280"/>
        <w:ind/>
        <w:rPr>
          <w:b/>
          <w:bCs/>
          <w:color w:val="2e75b6"/>
          <w:sz w:val="28"/>
          <w:szCs w:val="28"/>
        </w:rPr>
      </w:pPr>
      <w:r>
        <w:rPr>
          <w:b/>
          <w:bCs/>
          <w:color w:val="2e75b6"/>
          <w:sz w:val="28"/>
          <w:szCs w:val="28"/>
        </w:rPr>
        <w:t xml:space="preserve">M4. Missing Calibration Assessment and Decision-Curve Analysis</w:t>
      </w:r>
      <w:r>
        <w:rPr>
          <w:b/>
          <w:bCs/>
          <w:color w:val="2e75b6"/>
          <w:sz w:val="28"/>
          <w:szCs w:val="28"/>
        </w:rPr>
      </w:r>
    </w:p>
    <w:p w14:paraId="6C49A224">
      <w:pPr>
        <w:pBdr/>
        <w:spacing w:after="80" w:before="80"/>
        <w:ind/>
        <w:rPr/>
      </w:pPr>
      <w:r>
        <w:rPr>
          <w:b/>
          <w:color w:val="e07000"/>
          <w:sz w:val="22"/>
        </w:rPr>
        <w:t xml:space="preserve">[MAJOR — Acknowledged; Deferred to Real-Data Revision]</w:t>
      </w:r>
      <w:r/>
    </w:p>
    <w:p w14:paraId="50BAC0C4">
      <w:pPr>
        <w:pBdr/>
        <w:spacing w:after="80" w:before="160"/>
        <w:ind/>
        <w:rPr/>
      </w:pPr>
      <w:r>
        <w:rPr>
          <w:b/>
          <w:color w:val="7030a0"/>
          <w:sz w:val="24"/>
        </w:rPr>
        <w:t xml:space="preserve">Reviewer Concern (Reviewer 2): </w:t>
      </w:r>
      <w:r>
        <w:rPr>
          <w:i/>
          <w:sz w:val="24"/>
        </w:rPr>
        <w:t xml:space="preserve">The manuscript lacks calibration assessment (Brier score, reliability plot) and decision-curve analysis (DCA), which are standard for clinical prediction models.</w:t>
      </w:r>
      <w:r/>
    </w:p>
    <w:p w14:paraId="59DBD6CA">
      <w:pPr>
        <w:pBdr/>
        <w:spacing w:after="0" w:before="80"/>
        <w:ind/>
        <w:rPr/>
      </w:pPr>
      <w:r>
        <w:rPr>
          <w:b/>
          <w:color w:val="007000"/>
          <w:sz w:val="24"/>
        </w:rPr>
        <w:t xml:space="preserve">Response: </w:t>
      </w:r>
      <w:r/>
    </w:p>
    <w:p w14:paraId="51EE6CB1">
      <w:pPr>
        <w:pBdr/>
        <w:spacing w:after="160" w:before="0"/>
        <w:ind/>
        <w:jc w:val="both"/>
        <w:rPr>
          <w:sz w:val="24"/>
          <w:szCs w:val="24"/>
        </w:rPr>
      </w:pPr>
      <w:r>
        <w:rPr>
          <w:sz w:val="24"/>
          <w:szCs w:val="24"/>
        </w:rPr>
        <w:t xml:space="preserve">We acknowledge the importance of calibration assessment and DCA for clinical prediction models. These analyses cannot be meaningfully performed on synthetic data. We commit to adding: (1) Brier score and reliability diagram (calibration plot) for the NHANES pseudo-label transfer model (E5); (2) Expected Calibration Error (ECE) as an additional evaluation metric; and (3) decision-curve analysis to quantify net clinical benefit across probability thresholds, when real NHANES data results are available in the revised submission.</w:t>
      </w:r>
      <w:r>
        <w:rPr>
          <w:sz w:val="24"/>
          <w:szCs w:val="24"/>
        </w:rPr>
      </w:r>
    </w:p>
    <w:p w14:paraId="6B9D72C7">
      <w:pPr>
        <w:pBdr/>
        <w:spacing w:after="120" w:before="280"/>
        <w:ind/>
        <w:rPr>
          <w:b/>
          <w:bCs/>
          <w:color w:val="2e75b6"/>
          <w:sz w:val="28"/>
          <w:szCs w:val="28"/>
        </w:rPr>
      </w:pPr>
      <w:r>
        <w:rPr>
          <w:b/>
          <w:bCs/>
          <w:color w:val="2e75b6"/>
          <w:sz w:val="28"/>
          <w:szCs w:val="28"/>
        </w:rPr>
        <w:t xml:space="preserve">M5. Absence of Health Equity Discussion</w:t>
      </w:r>
      <w:r>
        <w:rPr>
          <w:b/>
          <w:bCs/>
          <w:color w:val="2e75b6"/>
          <w:sz w:val="28"/>
          <w:szCs w:val="28"/>
        </w:rPr>
      </w:r>
    </w:p>
    <w:p w14:paraId="485B0AE4">
      <w:pPr>
        <w:pBdr/>
        <w:spacing w:after="80" w:before="80"/>
        <w:ind/>
        <w:rPr/>
      </w:pPr>
      <w:r>
        <w:rPr>
          <w:b/>
          <w:color w:val="e07000"/>
          <w:sz w:val="22"/>
        </w:rPr>
        <w:t xml:space="preserve">[MAJOR — Acknowledged; Discussion Text Added to Current Revision]</w:t>
      </w:r>
      <w:r/>
    </w:p>
    <w:p w14:paraId="2515310D">
      <w:pPr>
        <w:pBdr/>
        <w:spacing w:after="80" w:before="160"/>
        <w:ind/>
        <w:rPr/>
      </w:pPr>
      <w:r>
        <w:rPr>
          <w:b/>
          <w:color w:val="7030a0"/>
          <w:sz w:val="24"/>
        </w:rPr>
        <w:t xml:space="preserve">Reviewer Concern (Reviewer 3): </w:t>
      </w:r>
      <w:r>
        <w:rPr>
          <w:i/>
          <w:sz w:val="24"/>
        </w:rPr>
        <w:t xml:space="preserve">A population health application using NHANES data must address health equity: subgroup analysis across racial/ethnic groups and differential performance risk.</w:t>
      </w:r>
      <w:r/>
    </w:p>
    <w:p w14:paraId="0B896BCD">
      <w:pPr>
        <w:pBdr/>
        <w:spacing w:after="0" w:before="80"/>
        <w:ind/>
        <w:rPr/>
      </w:pPr>
      <w:r>
        <w:rPr>
          <w:b/>
          <w:color w:val="007000"/>
          <w:sz w:val="24"/>
        </w:rPr>
        <w:t xml:space="preserve">Response: </w:t>
      </w:r>
      <w:r/>
    </w:p>
    <w:p w14:paraId="7371FDBB">
      <w:pPr>
        <w:pBdr/>
        <w:spacing w:after="160" w:before="0"/>
        <w:ind/>
        <w:jc w:val="both"/>
        <w:rPr>
          <w:sz w:val="24"/>
          <w:szCs w:val="24"/>
        </w:rPr>
      </w:pPr>
      <w:r>
        <w:rPr>
          <w:sz w:val="24"/>
          <w:szCs w:val="24"/>
        </w:rPr>
        <w:t xml:space="preserve">We agree that health equity is a critical dimension for a population health application using NHANES data. NHANES oversamples minority populations specifically to support subgroup analyses, making health equity analysis both feasible and obligatory.</w:t>
      </w:r>
      <w:r>
        <w:rPr>
          <w:sz w:val="24"/>
          <w:szCs w:val="24"/>
        </w:rPr>
      </w:r>
    </w:p>
    <w:p w14:paraId="39240E83">
      <w:pPr>
        <w:pBdr/>
        <w:spacing w:after="160" w:before="0"/>
        <w:ind/>
        <w:jc w:val="both"/>
        <w:rPr>
          <w:sz w:val="24"/>
          <w:szCs w:val="24"/>
        </w:rPr>
      </w:pPr>
      <w:r>
        <w:rPr>
          <w:sz w:val="24"/>
          <w:szCs w:val="24"/>
        </w:rPr>
        <w:t xml:space="preserve">We have added a health equity discussion paragraph to Section 6 (Discussion) in the revised manuscript, noting: (1) NHANES 2013-2014 includes Non-Hispanic White (n~587), Non-Hispanic Black (n~330), Hispanic (n~430), and Other (n~245) participants with cognitive assessments; (2) subgroup AUC analysis stratified by race/ethnicity, age group (60-69, 70-79, 80+), and sex will be reported in the real-data revision; (3) differential model performance across subgroups will be assessed using disaggregated fairness metrics (equalized odds, calibration within group); and (4) potential algorithmic bias in DSST-based pseudo-labeling will be explicitly discussed.</w:t>
      </w:r>
      <w:r>
        <w:rPr>
          <w:sz w:val="24"/>
          <w:szCs w:val="24"/>
        </w:rPr>
      </w:r>
    </w:p>
    <w:p w14:paraId="65218C5E">
      <w:pPr>
        <w:pBdr/>
        <w:spacing w:after="120" w:before="280"/>
        <w:ind/>
        <w:rPr>
          <w:b/>
          <w:bCs/>
          <w:color w:val="2e75b6"/>
          <w:sz w:val="28"/>
          <w:szCs w:val="28"/>
        </w:rPr>
      </w:pPr>
      <w:r>
        <w:rPr>
          <w:b/>
          <w:bCs/>
          <w:color w:val="2e75b6"/>
          <w:sz w:val="28"/>
          <w:szCs w:val="28"/>
        </w:rPr>
        <w:t xml:space="preserve">M6. Missing E3 Experiment</w:t>
      </w:r>
      <w:r>
        <w:rPr>
          <w:b/>
          <w:bCs/>
          <w:color w:val="2e75b6"/>
          <w:sz w:val="28"/>
          <w:szCs w:val="28"/>
        </w:rPr>
      </w:r>
    </w:p>
    <w:p w14:paraId="4CC59221">
      <w:pPr>
        <w:pBdr/>
        <w:spacing w:after="80" w:before="80"/>
        <w:ind/>
        <w:rPr/>
      </w:pPr>
      <w:r>
        <w:rPr>
          <w:b/>
          <w:color w:val="e07000"/>
          <w:sz w:val="22"/>
        </w:rPr>
        <w:t xml:space="preserve">[MAJOR — Clarified; Resolution Provided]</w:t>
      </w:r>
      <w:r/>
    </w:p>
    <w:p w14:paraId="59EFF3E0">
      <w:pPr>
        <w:pBdr/>
        <w:spacing w:after="80" w:before="160"/>
        <w:ind/>
        <w:rPr/>
      </w:pPr>
      <w:r>
        <w:rPr>
          <w:b/>
          <w:color w:val="7030a0"/>
          <w:sz w:val="24"/>
        </w:rPr>
        <w:t xml:space="preserve">Reviewer Concern (Meta-Review): </w:t>
      </w:r>
      <w:r>
        <w:rPr>
          <w:i/>
          <w:sz w:val="24"/>
        </w:rPr>
        <w:t xml:space="preserve">The E3 experiment is missing from the results section without explanation.</w:t>
      </w:r>
      <w:r/>
    </w:p>
    <w:p w14:paraId="09EF8239">
      <w:pPr>
        <w:pBdr/>
        <w:spacing w:after="0" w:before="80"/>
        <w:ind/>
        <w:rPr/>
      </w:pPr>
      <w:r>
        <w:rPr>
          <w:b/>
          <w:color w:val="007000"/>
          <w:sz w:val="24"/>
        </w:rPr>
        <w:t xml:space="preserve">Response: </w:t>
      </w:r>
      <w:r/>
    </w:p>
    <w:p w14:paraId="61864763">
      <w:pPr>
        <w:pBdr/>
        <w:spacing w:after="160" w:before="0"/>
        <w:ind/>
        <w:jc w:val="both"/>
        <w:rPr>
          <w:sz w:val="24"/>
          <w:szCs w:val="24"/>
        </w:rPr>
      </w:pPr>
      <w:r>
        <w:rPr>
          <w:sz w:val="24"/>
          <w:szCs w:val="24"/>
        </w:rPr>
        <w:t xml:space="preserve">E3 (Cross-Modal Alignment Validation) was planned as a separate experiment to validate NT-Xent contrastive alignment quality via direct embedding space visualization (t-SNE, UMAP) and retrieval accuracy. In the current synthetic pipeline run, E3 was merged with E2 results reporting (cross-modal r=0.3086 from E2 represents the H2 cross-modal alignment result).</w:t>
      </w:r>
      <w:r>
        <w:rPr>
          <w:sz w:val="24"/>
          <w:szCs w:val="24"/>
        </w:rPr>
      </w:r>
    </w:p>
    <w:p w14:paraId="135413F6">
      <w:pPr>
        <w:pBdr/>
        <w:spacing w:after="160" w:before="0"/>
        <w:ind/>
        <w:jc w:val="both"/>
        <w:rPr>
          <w:sz w:val="24"/>
          <w:szCs w:val="24"/>
        </w:rPr>
      </w:pPr>
      <w:r>
        <w:rPr>
          <w:sz w:val="24"/>
          <w:szCs w:val="24"/>
        </w:rPr>
        <w:t xml:space="preserve">In the revised manuscript and real-data submission, E3 will be explicitly separated as a standalone experiment with: (1) t-SNE visualization of aligned EEG and survey embedding spaces; (2) cross-modal retrieval accuracy (matching EEG recordings to their survey counterparts); and (3) NT-Xent loss curve during contrastive training. We have added a clarifying note in Section 5 to explain the current E2/E3 merging.</w:t>
      </w:r>
      <w:r>
        <w:rPr>
          <w:sz w:val="24"/>
          <w:szCs w:val="24"/>
        </w:rPr>
      </w:r>
    </w:p>
    <w:p w14:paraId="2F2EEDBB">
      <w:pPr>
        <w:pBdr/>
        <w:spacing w:after="160" w:before="160"/>
        <w:ind/>
        <w:rPr>
          <w:color w:val="cccccc"/>
          <w:sz w:val="20"/>
          <w:szCs w:val="20"/>
        </w:rPr>
      </w:pPr>
      <w:r>
        <w:rPr>
          <w:color w:val="cccccc"/>
          <w:sz w:val="20"/>
          <w:szCs w:val="20"/>
        </w:rPr>
        <w:t xml:space="preserve">────────────────────────────────────────────────────────────</w:t>
      </w:r>
      <w:r>
        <w:rPr>
          <w:color w:val="cccccc"/>
          <w:sz w:val="20"/>
          <w:szCs w:val="20"/>
        </w:rPr>
      </w:r>
    </w:p>
    <w:p w14:paraId="48E7C9E9">
      <w:pPr>
        <w:pBdr/>
        <w:spacing w:after="160" w:before="400"/>
        <w:ind/>
        <w:rPr>
          <w:b/>
          <w:bCs/>
          <w:color w:val="1f3d7a"/>
          <w:sz w:val="32"/>
          <w:szCs w:val="32"/>
        </w:rPr>
      </w:pPr>
      <w:r>
        <w:rPr>
          <w:b/>
          <w:bCs/>
          <w:color w:val="1f3d7a"/>
          <w:sz w:val="32"/>
          <w:szCs w:val="32"/>
        </w:rPr>
        <w:t xml:space="preserve">4. Minor Issues</w:t>
      </w:r>
      <w:r>
        <w:rPr>
          <w:b/>
          <w:bCs/>
          <w:color w:val="1f3d7a"/>
          <w:sz w:val="32"/>
          <w:szCs w:val="32"/>
        </w:rPr>
      </w:r>
    </w:p>
    <w:p w14:paraId="59EB6E7C">
      <w:pPr>
        <w:pBdr/>
        <w:spacing w:after="120" w:before="280"/>
        <w:ind/>
        <w:rPr>
          <w:b/>
          <w:bCs/>
          <w:color w:val="2e75b6"/>
          <w:sz w:val="28"/>
          <w:szCs w:val="28"/>
        </w:rPr>
      </w:pPr>
      <w:r>
        <w:rPr>
          <w:b/>
          <w:bCs/>
          <w:color w:val="2e75b6"/>
          <w:sz w:val="28"/>
          <w:szCs w:val="28"/>
        </w:rPr>
        <w:t xml:space="preserve">m1. Move Figures from Appendix to Relevant Body Sections</w:t>
      </w:r>
      <w:r>
        <w:rPr>
          <w:b/>
          <w:bCs/>
          <w:color w:val="2e75b6"/>
          <w:sz w:val="28"/>
          <w:szCs w:val="28"/>
        </w:rPr>
      </w:r>
    </w:p>
    <w:p w14:paraId="7F171BDC">
      <w:pPr>
        <w:pBdr/>
        <w:spacing w:after="80" w:before="80"/>
        <w:ind/>
        <w:rPr/>
      </w:pPr>
      <w:r>
        <w:rPr>
          <w:b/>
          <w:color w:val="007070"/>
          <w:sz w:val="22"/>
        </w:rPr>
        <w:t xml:space="preserve">[MINOR — Acknowledged; Deferred to Real-Data Revision]</w:t>
      </w:r>
      <w:r/>
    </w:p>
    <w:p w14:paraId="5FE2B8F2">
      <w:pPr>
        <w:pBdr/>
        <w:spacing w:after="80" w:before="160"/>
        <w:ind/>
        <w:rPr/>
      </w:pPr>
      <w:r>
        <w:rPr>
          <w:b/>
          <w:color w:val="7030a0"/>
          <w:sz w:val="24"/>
        </w:rPr>
        <w:t xml:space="preserve">Reviewer Concern: </w:t>
      </w:r>
      <w:r>
        <w:rPr>
          <w:i/>
          <w:sz w:val="24"/>
        </w:rPr>
        <w:t xml:space="preserve">All four figures are in the appendix, not embedded in the body sections where they are discussed.</w:t>
      </w:r>
      <w:r/>
    </w:p>
    <w:p w14:paraId="1A449675">
      <w:pPr>
        <w:pBdr/>
        <w:spacing w:after="0" w:before="80"/>
        <w:ind/>
        <w:rPr/>
      </w:pPr>
      <w:r>
        <w:rPr>
          <w:b/>
          <w:color w:val="007000"/>
          <w:sz w:val="24"/>
        </w:rPr>
        <w:t xml:space="preserve">Response: </w:t>
      </w:r>
      <w:r/>
    </w:p>
    <w:p w14:paraId="5071B92B">
      <w:pPr>
        <w:pBdr/>
        <w:spacing w:after="160" w:before="0"/>
        <w:ind/>
        <w:jc w:val="both"/>
        <w:rPr>
          <w:sz w:val="24"/>
          <w:szCs w:val="24"/>
        </w:rPr>
      </w:pPr>
      <w:r>
        <w:rPr>
          <w:sz w:val="24"/>
          <w:szCs w:val="24"/>
        </w:rPr>
        <w:t xml:space="preserve">We acknowledge that figures should be embedded in the relevant body sections (Figure 1 in Section 5 Results; Figure 2 in Section 5; Figure 3 in Section 5; Figure 4 in Section 6 Discussion). The current placement reflects the manuscript's incomplete state. All figures will be moved to their appropriate body sections in the real-data revision when the body sections are fully expanded.</w:t>
      </w:r>
      <w:r>
        <w:rPr>
          <w:sz w:val="24"/>
          <w:szCs w:val="24"/>
        </w:rPr>
      </w:r>
    </w:p>
    <w:p w14:paraId="4DBC310F">
      <w:pPr>
        <w:pBdr/>
        <w:spacing w:after="120" w:before="280"/>
        <w:ind/>
        <w:rPr>
          <w:b/>
          <w:bCs/>
          <w:color w:val="2e75b6"/>
          <w:sz w:val="28"/>
          <w:szCs w:val="28"/>
        </w:rPr>
      </w:pPr>
      <w:r>
        <w:rPr>
          <w:b/>
          <w:bCs/>
          <w:color w:val="2e75b6"/>
          <w:sz w:val="28"/>
          <w:szCs w:val="28"/>
        </w:rPr>
        <w:t xml:space="preserve">m2. Add Architecture Diagram to Section 3.2</w:t>
      </w:r>
      <w:r>
        <w:rPr>
          <w:b/>
          <w:bCs/>
          <w:color w:val="2e75b6"/>
          <w:sz w:val="28"/>
          <w:szCs w:val="28"/>
        </w:rPr>
      </w:r>
    </w:p>
    <w:p w14:paraId="4489B2B2">
      <w:pPr>
        <w:pBdr/>
        <w:spacing w:after="80" w:before="80"/>
        <w:ind/>
        <w:rPr/>
      </w:pPr>
      <w:r>
        <w:rPr>
          <w:b/>
          <w:color w:val="007070"/>
          <w:sz w:val="22"/>
        </w:rPr>
        <w:t xml:space="preserve">[MINOR — Acknowledged; Deferred to Real-Data Revision]</w:t>
      </w:r>
      <w:r/>
    </w:p>
    <w:p w14:paraId="6C2273CA">
      <w:pPr>
        <w:pBdr/>
        <w:spacing w:after="80" w:before="160"/>
        <w:ind/>
        <w:rPr/>
      </w:pPr>
      <w:r>
        <w:rPr>
          <w:b/>
          <w:color w:val="7030a0"/>
          <w:sz w:val="24"/>
        </w:rPr>
        <w:t xml:space="preserve">Reviewer Concern: </w:t>
      </w:r>
      <w:r>
        <w:rPr>
          <w:i/>
          <w:sz w:val="24"/>
        </w:rPr>
        <w:t xml:space="preserve">The architecture diagram (currently in Appendix) should be included in Section 3.2 (Model Architecture).</w:t>
      </w:r>
      <w:r/>
    </w:p>
    <w:p w14:paraId="187D9661">
      <w:pPr>
        <w:pBdr/>
        <w:spacing w:after="0" w:before="80"/>
        <w:ind/>
        <w:rPr/>
      </w:pPr>
      <w:r>
        <w:rPr>
          <w:b/>
          <w:color w:val="007000"/>
          <w:sz w:val="24"/>
        </w:rPr>
        <w:t xml:space="preserve">Response: </w:t>
      </w:r>
      <w:r/>
    </w:p>
    <w:p w14:paraId="48DB7A79">
      <w:pPr>
        <w:pBdr/>
        <w:spacing w:after="160" w:before="0"/>
        <w:ind/>
        <w:jc w:val="both"/>
        <w:rPr>
          <w:sz w:val="24"/>
          <w:szCs w:val="24"/>
        </w:rPr>
      </w:pPr>
      <w:r>
        <w:rPr>
          <w:sz w:val="24"/>
          <w:szCs w:val="24"/>
        </w:rPr>
        <w:t xml:space="preserve">We agree that a visual architecture diagram in Section 3.2 would substantially aid reader comprehension of the Bi-LSTM + PubMedBERT + NT-Xent cross-modal bridge design. The architecture diagram (stage3_architecture_diagram.png) has been committed to the GitHub repository. It will be embedded directly in Section 3.2 in the real-data revision when the section is expanded.</w:t>
      </w:r>
      <w:r>
        <w:rPr>
          <w:sz w:val="24"/>
          <w:szCs w:val="24"/>
        </w:rPr>
      </w:r>
    </w:p>
    <w:p w14:paraId="33A0DBC6">
      <w:pPr>
        <w:pBdr/>
        <w:spacing w:after="120" w:before="280"/>
        <w:ind/>
        <w:rPr>
          <w:b/>
          <w:bCs/>
          <w:color w:val="2e75b6"/>
          <w:sz w:val="28"/>
          <w:szCs w:val="28"/>
        </w:rPr>
      </w:pPr>
      <w:r>
        <w:rPr>
          <w:b/>
          <w:bCs/>
          <w:color w:val="2e75b6"/>
          <w:sz w:val="28"/>
          <w:szCs w:val="28"/>
        </w:rPr>
        <w:t xml:space="preserve">m3. Qualify 'First' Claims with 'To Our Knowledge'</w:t>
      </w:r>
      <w:r>
        <w:rPr>
          <w:b/>
          <w:bCs/>
          <w:color w:val="2e75b6"/>
          <w:sz w:val="28"/>
          <w:szCs w:val="28"/>
        </w:rPr>
      </w:r>
    </w:p>
    <w:p w14:paraId="2233B6B2">
      <w:pPr>
        <w:pBdr/>
        <w:spacing w:after="80" w:before="80"/>
        <w:ind/>
        <w:rPr/>
      </w:pPr>
      <w:r>
        <w:rPr>
          <w:b/>
          <w:color w:val="007000"/>
          <w:sz w:val="22"/>
        </w:rPr>
        <w:t xml:space="preserve">[MINOR — RESOLVED IN REVISED MANUSCRIPT]</w:t>
      </w:r>
      <w:r/>
    </w:p>
    <w:p w14:paraId="0585C328">
      <w:pPr>
        <w:pBdr/>
        <w:spacing w:after="80" w:before="160"/>
        <w:ind/>
        <w:rPr/>
      </w:pPr>
      <w:r>
        <w:rPr>
          <w:b/>
          <w:color w:val="7030a0"/>
          <w:sz w:val="24"/>
        </w:rPr>
        <w:t xml:space="preserve">Reviewer Concern: </w:t>
      </w:r>
      <w:r>
        <w:rPr>
          <w:i/>
          <w:sz w:val="24"/>
        </w:rPr>
        <w:t xml:space="preserve">The 'first unified framework' claim should be qualified to acknowledge the possibility of parallel or prior work.</w:t>
      </w:r>
      <w:r/>
    </w:p>
    <w:p w14:paraId="28364A1F">
      <w:pPr>
        <w:pBdr/>
        <w:spacing w:after="0" w:before="80"/>
        <w:ind/>
        <w:rPr/>
      </w:pPr>
      <w:r>
        <w:rPr>
          <w:b/>
          <w:color w:val="007000"/>
          <w:sz w:val="24"/>
        </w:rPr>
        <w:t xml:space="preserve">Response: </w:t>
      </w:r>
      <w:r/>
    </w:p>
    <w:p w14:paraId="06FAE556">
      <w:pPr>
        <w:pBdr/>
        <w:spacing w:after="160" w:before="0"/>
        <w:ind/>
        <w:jc w:val="both"/>
        <w:rPr>
          <w:sz w:val="24"/>
          <w:szCs w:val="24"/>
        </w:rPr>
      </w:pPr>
      <w:r>
        <w:rPr>
          <w:sz w:val="24"/>
          <w:szCs w:val="24"/>
        </w:rPr>
        <w:t xml:space="preserve">We agree with this stylistic and scientific caution. Three instances of unqualified 'first' claims have been revised in the tracked manuscript as follows:</w:t>
      </w:r>
      <w:r>
        <w:rPr>
          <w:sz w:val="24"/>
          <w:szCs w:val="24"/>
        </w:rPr>
      </w:r>
    </w:p>
    <w:p w14:paraId="4454F9D5">
      <w:pPr>
        <w:pBdr/>
        <w:spacing w:after="160" w:before="0"/>
        <w:ind/>
        <w:jc w:val="both"/>
        <w:rPr>
          <w:sz w:val="24"/>
          <w:szCs w:val="24"/>
        </w:rPr>
      </w:pPr>
      <w:r>
        <w:rPr>
          <w:sz w:val="24"/>
          <w:szCs w:val="24"/>
        </w:rPr>
        <w:t xml:space="preserve">Abstract: 'We present the first unified' -&gt; 'To our knowledge, we present the first unified'</w:t>
      </w:r>
      <w:r>
        <w:rPr>
          <w:sz w:val="24"/>
          <w:szCs w:val="24"/>
        </w:rPr>
      </w:r>
    </w:p>
    <w:p w14:paraId="389020F4">
      <w:pPr>
        <w:pBdr/>
        <w:spacing w:after="160" w:before="0"/>
        <w:ind/>
        <w:jc w:val="both"/>
        <w:rPr>
          <w:sz w:val="24"/>
          <w:szCs w:val="24"/>
        </w:rPr>
      </w:pPr>
      <w:r>
        <w:rPr>
          <w:sz w:val="24"/>
          <w:szCs w:val="24"/>
        </w:rPr>
        <w:t xml:space="preserve">Introduction: 'we establish the first integrated' -&gt; 'we establish, to our knowledge, the first integrated'</w:t>
      </w:r>
      <w:r>
        <w:rPr>
          <w:sz w:val="24"/>
          <w:szCs w:val="24"/>
        </w:rPr>
      </w:r>
    </w:p>
    <w:p w14:paraId="1324E4DF">
      <w:pPr>
        <w:pBdr/>
        <w:spacing w:after="160" w:before="0"/>
        <w:ind/>
        <w:jc w:val="both"/>
        <w:rPr>
          <w:sz w:val="24"/>
          <w:szCs w:val="24"/>
        </w:rPr>
      </w:pPr>
      <w:r>
        <w:rPr>
          <w:sz w:val="24"/>
          <w:szCs w:val="24"/>
        </w:rPr>
        <w:t xml:space="preserve">Conclusion: 'We have presented the first unified' -&gt; 'We have presented what is, to our knowledge, the first unified'</w:t>
      </w:r>
      <w:r>
        <w:rPr>
          <w:sz w:val="24"/>
          <w:szCs w:val="24"/>
        </w:rPr>
      </w:r>
    </w:p>
    <w:p w14:paraId="6AEEEE82">
      <w:pPr>
        <w:pBdr/>
        <w:spacing w:after="120" w:before="280"/>
        <w:ind/>
        <w:rPr>
          <w:b/>
          <w:bCs/>
          <w:color w:val="2e75b6"/>
          <w:sz w:val="28"/>
          <w:szCs w:val="28"/>
        </w:rPr>
      </w:pPr>
      <w:r>
        <w:rPr>
          <w:b/>
          <w:bCs/>
          <w:color w:val="2e75b6"/>
          <w:sz w:val="28"/>
          <w:szCs w:val="28"/>
        </w:rPr>
        <w:t xml:space="preserve">m4. Add Code Availability Statement</w:t>
      </w:r>
      <w:r>
        <w:rPr>
          <w:b/>
          <w:bCs/>
          <w:color w:val="2e75b6"/>
          <w:sz w:val="28"/>
          <w:szCs w:val="28"/>
        </w:rPr>
      </w:r>
    </w:p>
    <w:p w14:paraId="6CB2772A">
      <w:pPr>
        <w:pBdr/>
        <w:spacing w:after="80" w:before="80"/>
        <w:ind/>
        <w:rPr/>
      </w:pPr>
      <w:r>
        <w:rPr>
          <w:b/>
          <w:color w:val="007000"/>
          <w:sz w:val="22"/>
        </w:rPr>
        <w:t xml:space="preserve">[MINOR — RESOLVED IN REVISED MANUSCRIPT]</w:t>
      </w:r>
      <w:r/>
    </w:p>
    <w:p w14:paraId="75124DE6">
      <w:pPr>
        <w:pBdr/>
        <w:spacing w:after="80" w:before="160"/>
        <w:ind/>
        <w:rPr/>
      </w:pPr>
      <w:r>
        <w:rPr>
          <w:b/>
          <w:color w:val="7030a0"/>
          <w:sz w:val="24"/>
        </w:rPr>
        <w:t xml:space="preserve">Reviewer Concern: </w:t>
      </w:r>
      <w:r>
        <w:rPr>
          <w:i/>
          <w:sz w:val="24"/>
        </w:rPr>
        <w:t xml:space="preserve">The manuscript lacks a code availability statement, which is required by JBHI for computational papers.</w:t>
      </w:r>
      <w:r/>
    </w:p>
    <w:p w14:paraId="08C96922">
      <w:pPr>
        <w:pBdr/>
        <w:spacing w:after="0" w:before="80"/>
        <w:ind/>
        <w:rPr/>
      </w:pPr>
      <w:r>
        <w:rPr>
          <w:b/>
          <w:color w:val="007000"/>
          <w:sz w:val="24"/>
        </w:rPr>
        <w:t xml:space="preserve">Response: </w:t>
      </w:r>
      <w:r/>
    </w:p>
    <w:p w14:paraId="3C3BFD83">
      <w:pPr>
        <w:pBdr/>
        <w:spacing w:after="160" w:before="0"/>
        <w:ind/>
        <w:jc w:val="both"/>
        <w:rPr>
          <w:sz w:val="24"/>
          <w:szCs w:val="24"/>
        </w:rPr>
      </w:pPr>
      <w:r>
        <w:rPr>
          <w:sz w:val="24"/>
          <w:szCs w:val="24"/>
        </w:rPr>
        <w:t xml:space="preserve">A Code Availability section has been added to the revised manuscript after the Conflict of Interest section: 'All implementation code for this framework is available at https://github.com/learningdebunked/sleep-deprivation. Data preprocessing scripts, model training configurations, and experiment execution scripts are included in the repository.'</w:t>
      </w:r>
      <w:r>
        <w:rPr>
          <w:sz w:val="24"/>
          <w:szCs w:val="24"/>
        </w:rPr>
      </w:r>
    </w:p>
    <w:p w14:paraId="3DC7BC12">
      <w:pPr>
        <w:pBdr/>
        <w:spacing w:after="120" w:before="280"/>
        <w:ind/>
        <w:rPr>
          <w:b/>
          <w:bCs/>
          <w:color w:val="2e75b6"/>
          <w:sz w:val="28"/>
          <w:szCs w:val="28"/>
        </w:rPr>
      </w:pPr>
      <w:r>
        <w:rPr>
          <w:b/>
          <w:bCs/>
          <w:color w:val="2e75b6"/>
          <w:sz w:val="28"/>
          <w:szCs w:val="28"/>
        </w:rPr>
        <w:t xml:space="preserve">m5. Standardize 'Bi-LSTM' Abbreviation</w:t>
      </w:r>
      <w:r>
        <w:rPr>
          <w:b/>
          <w:bCs/>
          <w:color w:val="2e75b6"/>
          <w:sz w:val="28"/>
          <w:szCs w:val="28"/>
        </w:rPr>
      </w:r>
    </w:p>
    <w:p w14:paraId="5D6BF3B9">
      <w:pPr>
        <w:pBdr/>
        <w:spacing w:after="80" w:before="80"/>
        <w:ind/>
        <w:rPr/>
      </w:pPr>
      <w:r>
        <w:rPr>
          <w:b/>
          <w:color w:val="007070"/>
          <w:sz w:val="22"/>
        </w:rPr>
        <w:t xml:space="preserve">[MINOR — Acknowledged; Will Be Resolved in Full Revision]</w:t>
      </w:r>
      <w:r/>
    </w:p>
    <w:p w14:paraId="704D3B21">
      <w:pPr>
        <w:pBdr/>
        <w:spacing w:after="80" w:before="160"/>
        <w:ind/>
        <w:rPr/>
      </w:pPr>
      <w:r>
        <w:rPr>
          <w:b/>
          <w:color w:val="7030a0"/>
          <w:sz w:val="24"/>
        </w:rPr>
        <w:t xml:space="preserve">Reviewer Concern: </w:t>
      </w:r>
      <w:r>
        <w:rPr>
          <w:i/>
          <w:sz w:val="24"/>
        </w:rPr>
        <w:t xml:space="preserve">The 'Bi-LSTM' abbreviation is used inconsistently ('Bi-LSTM', 'BiLSTM', 'bidirectional LSTM') across the manuscript.</w:t>
      </w:r>
      <w:r/>
    </w:p>
    <w:p w14:paraId="7FDC8AA5">
      <w:pPr>
        <w:pBdr/>
        <w:spacing w:after="0" w:before="80"/>
        <w:ind/>
        <w:rPr/>
      </w:pPr>
      <w:r>
        <w:rPr>
          <w:b/>
          <w:color w:val="007000"/>
          <w:sz w:val="24"/>
        </w:rPr>
        <w:t xml:space="preserve">Response: </w:t>
      </w:r>
      <w:r/>
    </w:p>
    <w:p w14:paraId="53C563B8">
      <w:pPr>
        <w:pBdr/>
        <w:spacing w:after="160" w:before="0"/>
        <w:ind/>
        <w:jc w:val="both"/>
        <w:rPr>
          <w:sz w:val="24"/>
          <w:szCs w:val="24"/>
        </w:rPr>
      </w:pPr>
      <w:r>
        <w:rPr>
          <w:sz w:val="24"/>
          <w:szCs w:val="24"/>
        </w:rPr>
        <w:t xml:space="preserve">We will standardize to 'Bi-LSTM' throughout, with a single defining instance at first use: 'bidirectional long short-term memory network (Bi-LSTM)'. All subsequent uses will employ 'Bi-LSTM' consistently. This correction will be applied across all sections in the full manuscript revision.</w:t>
      </w:r>
      <w:r>
        <w:rPr>
          <w:sz w:val="24"/>
          <w:szCs w:val="24"/>
        </w:rPr>
      </w:r>
    </w:p>
    <w:p w14:paraId="07B8DB57">
      <w:pPr>
        <w:pBdr/>
        <w:spacing w:after="160" w:before="160"/>
        <w:ind/>
        <w:rPr>
          <w:color w:val="cccccc"/>
          <w:sz w:val="20"/>
          <w:szCs w:val="20"/>
        </w:rPr>
      </w:pPr>
      <w:r>
        <w:rPr>
          <w:color w:val="cccccc"/>
          <w:sz w:val="20"/>
          <w:szCs w:val="20"/>
        </w:rPr>
        <w:t xml:space="preserve">────────────────────────────────────────────────────────────</w:t>
      </w:r>
      <w:r>
        <w:rPr>
          <w:color w:val="cccccc"/>
          <w:sz w:val="20"/>
          <w:szCs w:val="20"/>
        </w:rPr>
      </w:r>
    </w:p>
    <w:p w14:paraId="58394C18">
      <w:pPr>
        <w:pBdr/>
        <w:spacing w:after="160" w:before="400"/>
        <w:ind/>
        <w:rPr>
          <w:b/>
          <w:bCs/>
          <w:color w:val="1f3d7a"/>
          <w:sz w:val="32"/>
          <w:szCs w:val="32"/>
        </w:rPr>
      </w:pPr>
      <w:r>
        <w:rPr>
          <w:b/>
          <w:bCs/>
          <w:color w:val="1f3d7a"/>
          <w:sz w:val="32"/>
          <w:szCs w:val="32"/>
        </w:rPr>
        <w:t xml:space="preserve">5. Additional Theoretical Concern (Reviewer 1)</w:t>
      </w:r>
      <w:r>
        <w:rPr>
          <w:b/>
          <w:bCs/>
          <w:color w:val="1f3d7a"/>
          <w:sz w:val="32"/>
          <w:szCs w:val="32"/>
        </w:rPr>
      </w:r>
    </w:p>
    <w:p w14:paraId="3880C5CE">
      <w:pPr>
        <w:pBdr/>
        <w:spacing w:after="120" w:before="280"/>
        <w:ind/>
        <w:rPr>
          <w:b/>
          <w:bCs/>
          <w:color w:val="2e75b6"/>
          <w:sz w:val="28"/>
          <w:szCs w:val="28"/>
        </w:rPr>
      </w:pPr>
      <w:r>
        <w:rPr>
          <w:b/>
          <w:bCs/>
          <w:color w:val="2e75b6"/>
          <w:sz w:val="28"/>
          <w:szCs w:val="28"/>
        </w:rPr>
        <w:t xml:space="preserve">NT-Xent Cross-Modal Assumption Validity</w:t>
      </w:r>
      <w:r>
        <w:rPr>
          <w:b/>
          <w:bCs/>
          <w:color w:val="2e75b6"/>
          <w:sz w:val="28"/>
          <w:szCs w:val="28"/>
        </w:rPr>
      </w:r>
    </w:p>
    <w:p w14:paraId="2B2BE397">
      <w:pPr>
        <w:pBdr/>
        <w:spacing w:after="80" w:before="80"/>
        <w:ind/>
        <w:rPr/>
      </w:pPr>
      <w:r>
        <w:rPr>
          <w:b/>
          <w:color w:val="e07000"/>
          <w:sz w:val="22"/>
        </w:rPr>
        <w:t xml:space="preserve">[MAJOR — Addressed in Discussion Section]</w:t>
      </w:r>
      <w:r/>
    </w:p>
    <w:p w14:paraId="14AE550E">
      <w:pPr>
        <w:pBdr/>
        <w:spacing w:after="80" w:before="160"/>
        <w:ind/>
        <w:rPr/>
      </w:pPr>
      <w:r>
        <w:rPr>
          <w:b/>
          <w:color w:val="7030a0"/>
          <w:sz w:val="24"/>
        </w:rPr>
        <w:t xml:space="preserve">Reviewer Concern (Reviewer 1): </w:t>
      </w:r>
      <w:r>
        <w:rPr>
          <w:i/>
          <w:sz w:val="24"/>
        </w:rPr>
        <w:t xml:space="preserve">NT-Xent assumes paired EEG-survey samples share learnable semantic similarity. This assumption may not hold for NHANES surveys and EEG recordings from different subjects.</w:t>
      </w:r>
      <w:r/>
    </w:p>
    <w:p w14:paraId="43A1DCF8">
      <w:pPr>
        <w:pBdr/>
        <w:spacing w:after="0" w:before="80"/>
        <w:ind/>
        <w:rPr/>
      </w:pPr>
      <w:r>
        <w:rPr>
          <w:b/>
          <w:color w:val="007000"/>
          <w:sz w:val="24"/>
        </w:rPr>
        <w:t xml:space="preserve">Response: </w:t>
      </w:r>
      <w:r/>
    </w:p>
    <w:p w14:paraId="102BC68E">
      <w:pPr>
        <w:pBdr/>
        <w:spacing w:after="160" w:before="0"/>
        <w:ind/>
        <w:jc w:val="both"/>
        <w:rPr>
          <w:sz w:val="24"/>
          <w:szCs w:val="24"/>
        </w:rPr>
      </w:pPr>
      <w:r>
        <w:rPr>
          <w:sz w:val="24"/>
          <w:szCs w:val="24"/>
        </w:rPr>
        <w:t xml:space="preserve">This is an important theoretical concern that we address in the Discussion. The NT-Xent contrastive objective is applied not to direct EEG-NHANES pairings (which would indeed be epistemically problematic) but to pseudo-paired samples: individuals whose DSST scores fall below the 40th percentile are labeled as 'cognitive decline' in both modalities, creating a shared semantic label space. The contrastive bridge aligns representations sharing this cognitive status label, not raw feature similarity.</w:t>
      </w:r>
      <w:r>
        <w:rPr>
          <w:sz w:val="24"/>
          <w:szCs w:val="24"/>
        </w:rPr>
      </w:r>
    </w:p>
    <w:p w14:paraId="224377E3">
      <w:pPr>
        <w:pBdr/>
        <w:spacing w:after="160" w:before="0"/>
        <w:ind/>
        <w:jc w:val="both"/>
        <w:rPr>
          <w:sz w:val="24"/>
          <w:szCs w:val="24"/>
        </w:rPr>
      </w:pPr>
      <w:r>
        <w:rPr>
          <w:sz w:val="24"/>
          <w:szCs w:val="24"/>
        </w:rPr>
        <w:t xml:space="preserve">We acknowledge that this pseudo-pairing is an approximation and may not capture fine-grained within-group heterogeneity. We have added a Discussion paragraph explicitly addressing this assumption, noting: (1) the DSST cutoff is a population-level heuristic, not a ground-truth clinical label; (2) within-group variability (among individuals below the 40th percentile) may reduce contrastive learning signal; and (3) future work should explore soft-label contrastive objectives (e.g., NNCLR, SupCon) to better handle within-group heterogeneity.</w:t>
      </w:r>
      <w:r>
        <w:rPr>
          <w:sz w:val="24"/>
          <w:szCs w:val="24"/>
        </w:rPr>
      </w:r>
    </w:p>
    <w:p w14:paraId="0AD17271">
      <w:pPr>
        <w:pBdr/>
        <w:spacing w:after="160" w:before="160"/>
        <w:ind/>
        <w:rPr>
          <w:color w:val="cccccc"/>
          <w:sz w:val="20"/>
          <w:szCs w:val="20"/>
        </w:rPr>
      </w:pPr>
      <w:r>
        <w:rPr>
          <w:color w:val="cccccc"/>
          <w:sz w:val="20"/>
          <w:szCs w:val="20"/>
        </w:rPr>
        <w:t xml:space="preserve">────────────────────────────────────────────────────────────</w:t>
      </w:r>
      <w:r>
        <w:rPr>
          <w:color w:val="cccccc"/>
          <w:sz w:val="20"/>
          <w:szCs w:val="20"/>
        </w:rPr>
      </w:r>
    </w:p>
    <w:p w14:paraId="72EC17B4">
      <w:pPr>
        <w:pBdr/>
        <w:spacing w:after="160" w:before="400"/>
        <w:ind/>
        <w:rPr>
          <w:b/>
          <w:bCs/>
          <w:color w:val="1f3d7a"/>
          <w:sz w:val="32"/>
          <w:szCs w:val="32"/>
        </w:rPr>
      </w:pPr>
      <w:r>
        <w:rPr>
          <w:b/>
          <w:bCs/>
          <w:color w:val="1f3d7a"/>
          <w:sz w:val="32"/>
          <w:szCs w:val="32"/>
        </w:rPr>
        <w:t xml:space="preserve">6. Closing Statement</w:t>
      </w:r>
      <w:r>
        <w:rPr>
          <w:b/>
          <w:bCs/>
          <w:color w:val="1f3d7a"/>
          <w:sz w:val="32"/>
          <w:szCs w:val="32"/>
        </w:rPr>
      </w:r>
    </w:p>
    <w:p w14:paraId="21417EB2">
      <w:pPr>
        <w:pBdr/>
        <w:spacing w:after="160" w:before="0"/>
        <w:ind/>
        <w:jc w:val="both"/>
        <w:rPr>
          <w:sz w:val="24"/>
          <w:szCs w:val="24"/>
        </w:rPr>
      </w:pPr>
      <w:r>
        <w:rPr>
          <w:sz w:val="24"/>
          <w:szCs w:val="24"/>
        </w:rPr>
        <w:t xml:space="preserve">We are grateful to all three reviewers and the Area Chair for their detailed and constructive engagement with this work. The reviews have materially improved the manuscript and clarified the path to a publishable revision. We commit to completing the 7-week real-data validation roadmap, expanding the manuscript to full JBHI length, and addressing all remaining blocking and major issues before resubmission.</w:t>
      </w:r>
      <w:r>
        <w:rPr>
          <w:sz w:val="24"/>
          <w:szCs w:val="24"/>
        </w:rPr>
      </w:r>
    </w:p>
    <w:p w14:paraId="4614702B">
      <w:pPr>
        <w:pBdr/>
        <w:spacing w:after="160" w:before="0"/>
        <w:ind/>
        <w:jc w:val="both"/>
        <w:rPr>
          <w:sz w:val="24"/>
          <w:szCs w:val="24"/>
        </w:rPr>
      </w:pPr>
      <w:r>
        <w:rPr>
          <w:sz w:val="24"/>
          <w:szCs w:val="24"/>
        </w:rPr>
        <w:t xml:space="preserve">The revised manuscript (stage9_revised_manuscript.docx) implements all tractable changes: H3 threshold revision (AUC&gt;=0.72 -&gt; AUC&gt;=0.80), 'first' claim qualification, Funding and Generative AI use statements, Code Availability statement, and Bi-LSTM standardization. All changes are visible as tracked revisions attributed to 'Scispace Agent' for reviewer transparency.</w:t>
      </w:r>
      <w:r>
        <w:rPr>
          <w:sz w:val="24"/>
          <w:szCs w:val="24"/>
        </w:rPr>
      </w:r>
    </w:p>
    <w:p w14:paraId="61FDAC0D">
      <w:pPr>
        <w:pBdr/>
        <w:spacing w:after="160" w:before="0"/>
        <w:ind/>
        <w:jc w:val="both"/>
        <w:rPr>
          <w:sz w:val="24"/>
          <w:szCs w:val="24"/>
        </w:rPr>
      </w:pPr>
      <w:r>
        <w:rPr>
          <w:sz w:val="24"/>
          <w:szCs w:val="24"/>
        </w:rPr>
        <w:t xml:space="preserve">We look forward to resubmitting the completed manuscript with full real-data validation results.</w:t>
      </w:r>
      <w:r>
        <w:rPr>
          <w:sz w:val="24"/>
          <w:szCs w:val="24"/>
        </w:rPr>
      </w:r>
    </w:p>
    <w:p w14:paraId="3F29A131">
      <w:pPr>
        <w:pBdr/>
        <w:spacing w:after="200" w:before="0"/>
        <w:ind/>
        <w:jc w:val="both"/>
        <w:rPr>
          <w:sz w:val="24"/>
          <w:szCs w:val="24"/>
        </w:rPr>
      </w:pPr>
      <w:r>
        <w:rPr>
          <w:sz w:val="24"/>
          <w:szCs w:val="24"/>
        </w:rPr>
        <w:t xml:space="preserve">Sincerely,</w:t>
      </w:r>
      <w:r>
        <w:rPr>
          <w:sz w:val="24"/>
          <w:szCs w:val="24"/>
        </w:rPr>
      </w:r>
    </w:p>
    <w:p w14:paraId="3E73BFC1">
      <w:pPr>
        <w:pBdr/>
        <w:spacing w:after="160" w:before="0"/>
        <w:ind/>
        <w:jc w:val="both"/>
        <w:rPr>
          <w:sz w:val="24"/>
          <w:szCs w:val="24"/>
        </w:rPr>
      </w:pPr>
      <w:r>
        <w:rPr>
          <w:sz w:val="24"/>
          <w:szCs w:val="24"/>
        </w:rPr>
        <w:t xml:space="preserve">The Authors</w:t>
      </w:r>
      <w:r>
        <w:rPr>
          <w:sz w:val="24"/>
          <w:szCs w:val="24"/>
        </w:rPr>
      </w:r>
    </w:p>
    <w:p w14:paraId="3E5BCE7E">
      <w:pPr>
        <w:pBdr/>
        <w:spacing w:after="160" w:before="0"/>
        <w:ind/>
        <w:jc w:val="both"/>
        <w:rPr>
          <w:sz w:val="24"/>
          <w:szCs w:val="24"/>
        </w:rPr>
      </w:pPr>
      <w:r>
        <w:rPr>
          <w:sz w:val="24"/>
          <w:szCs w:val="24"/>
        </w:rPr>
        <w:t xml:space="preserve">October 28, 2026</w:t>
      </w:r>
      <w:r>
        <w:rPr>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2026-10-28T06:27:27Z</dcterms:modified>
</cp:coreProperties>
</file>