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ind/>
        <w:jc w:val="center"/>
        <w:rPr>
          <w:rFonts w:ascii="Calibri" w:hAnsi="Calibri" w:cs="Calibri"/>
          <w:b/>
          <w:bCs/>
          <w:color w:val="17375e"/>
          <w:sz w:val="44"/>
          <w:szCs w:val="44"/>
        </w:rPr>
      </w:pPr>
      <w:r>
        <w:rPr>
          <w:rFonts w:ascii="Calibri" w:hAnsi="Calibri" w:eastAsia="Calibri" w:cs="Calibri"/>
          <w:b/>
          <w:bCs/>
          <w:color w:val="17375e"/>
          <w:sz w:val="44"/>
          <w:szCs w:val="44"/>
        </w:rPr>
      </w:r>
      <w:r>
        <w:rPr>
          <w:rFonts w:ascii="Calibri" w:hAnsi="Calibri" w:eastAsia="Calibri" w:cs="Calibri"/>
          <w:b/>
          <w:bCs/>
          <w:color w:val="17375e"/>
          <w:sz w:val="44"/>
          <w:szCs w:val="44"/>
        </w:rPr>
        <w:t xml:space="preserve">STAGE 1 NOVELTY MEMO</w:t>
      </w:r>
      <w:r>
        <w:rPr>
          <w:rFonts w:ascii="Calibri" w:hAnsi="Calibri" w:eastAsia="Calibri" w:cs="Calibri"/>
          <w:b/>
          <w:bCs/>
          <w:color w:val="17375e"/>
          <w:sz w:val="44"/>
          <w:szCs w:val="44"/>
        </w:rPr>
      </w:r>
      <w:r>
        <w:rPr>
          <w:rFonts w:ascii="Calibri" w:hAnsi="Calibri" w:cs="Calibri"/>
          <w:b/>
          <w:bCs/>
          <w:color w:val="17375e"/>
          <w:sz w:val="44"/>
          <w:szCs w:val="44"/>
        </w:rPr>
      </w:r>
    </w:p>
    <w:p w14:paraId="00DE34D1">
      <w:pPr>
        <w:pBdr/>
        <w:spacing w:after="60"/>
        <w:ind/>
        <w:jc w:val="center"/>
        <w:rPr>
          <w:rFonts w:ascii="Calibri" w:hAnsi="Calibri" w:cs="Calibri"/>
          <w:b/>
          <w:bCs/>
          <w:color w:val="264f78"/>
          <w:sz w:val="24"/>
          <w:szCs w:val="24"/>
        </w:rPr>
      </w:pPr>
      <w:r>
        <w:rPr>
          <w:rFonts w:ascii="Calibri" w:hAnsi="Calibri" w:eastAsia="Calibri" w:cs="Calibri"/>
          <w:b/>
          <w:bCs/>
          <w:color w:val="264f78"/>
          <w:sz w:val="24"/>
          <w:szCs w:val="24"/>
        </w:rPr>
        <w:t xml:space="preserve">Sleep Deprivation as a Behavioral Predictor of EEG-Indexed Cognitive Decline</w:t>
      </w:r>
      <w:r>
        <w:rPr>
          <w:rFonts w:ascii="Calibri" w:hAnsi="Calibri" w:eastAsia="Calibri" w:cs="Calibri"/>
          <w:b/>
          <w:bCs/>
          <w:color w:val="264f78"/>
          <w:sz w:val="24"/>
          <w:szCs w:val="24"/>
        </w:rPr>
      </w:r>
      <w:r>
        <w:rPr>
          <w:rFonts w:ascii="Calibri" w:hAnsi="Calibri" w:cs="Calibri"/>
          <w:b/>
          <w:bCs/>
          <w:color w:val="264f78"/>
          <w:sz w:val="24"/>
          <w:szCs w:val="24"/>
        </w:rPr>
      </w:r>
    </w:p>
    <w:p w14:paraId="561179A3">
      <w:pPr>
        <w:pBdr/>
        <w:spacing w:after="160"/>
        <w:ind/>
        <w:jc w:val="center"/>
        <w:rPr>
          <w:rFonts w:ascii="Calibri" w:hAnsi="Calibri" w:cs="Calibri"/>
          <w:b w:val="0"/>
          <w:bCs w:val="0"/>
          <w:color w:val="264f78"/>
          <w:sz w:val="22"/>
          <w:szCs w:val="22"/>
        </w:rPr>
      </w:pPr>
      <w:r>
        <w:rPr>
          <w:rFonts w:ascii="Calibri" w:hAnsi="Calibri" w:eastAsia="Calibri" w:cs="Calibri"/>
          <w:b w:val="0"/>
          <w:bCs w:val="0"/>
          <w:color w:val="264f78"/>
          <w:sz w:val="22"/>
          <w:szCs w:val="22"/>
        </w:rPr>
        <w:t xml:space="preserve">An LSTM–LLM Framework Combining NHANES Sleep Surveillance Data with Neural Biomarker Validation from the Sleep-EDF and Resting-State EEG Sleep Deprivation Datasets</w:t>
      </w:r>
      <w:r>
        <w:rPr>
          <w:rFonts w:ascii="Calibri" w:hAnsi="Calibri" w:eastAsia="Calibri" w:cs="Calibri"/>
          <w:b w:val="0"/>
          <w:bCs w:val="0"/>
          <w:color w:val="264f78"/>
          <w:sz w:val="22"/>
          <w:szCs w:val="22"/>
        </w:rPr>
      </w:r>
      <w:r>
        <w:rPr>
          <w:rFonts w:ascii="Calibri" w:hAnsi="Calibri" w:cs="Calibri"/>
          <w:b w:val="0"/>
          <w:bCs w:val="0"/>
          <w:color w:val="264f78"/>
          <w:sz w:val="22"/>
          <w:szCs w:val="22"/>
        </w:rPr>
      </w:r>
    </w:p>
    <w:p w14:paraId="338C26CA">
      <w:pPr>
        <w:pBdr/>
        <w:spacing w:after="400"/>
        <w:ind/>
        <w:jc w:val="center"/>
        <w:rPr>
          <w:rFonts w:ascii="Calibri" w:hAnsi="Calibri" w:cs="Calibri"/>
          <w:b w:val="0"/>
          <w:bCs w:val="0"/>
          <w:color w:val="707070"/>
          <w:sz w:val="20"/>
          <w:szCs w:val="20"/>
        </w:rPr>
      </w:pPr>
      <w:r>
        <w:rPr>
          <w:rFonts w:ascii="Calibri" w:hAnsi="Calibri" w:eastAsia="Calibri" w:cs="Calibri"/>
          <w:b w:val="0"/>
          <w:bCs w:val="0"/>
          <w:color w:val="707070"/>
          <w:sz w:val="20"/>
          <w:szCs w:val="20"/>
        </w:rPr>
        <w:t xml:space="preserve">Pipeline Stage: 1 of 9  |  Gate: NOVELTY  |  Date: October 2026</w:t>
      </w:r>
      <w:r>
        <w:rPr>
          <w:rFonts w:ascii="Calibri" w:hAnsi="Calibri" w:eastAsia="Calibri" w:cs="Calibri"/>
          <w:b w:val="0"/>
          <w:bCs w:val="0"/>
          <w:color w:val="707070"/>
          <w:sz w:val="20"/>
          <w:szCs w:val="20"/>
        </w:rPr>
      </w:r>
      <w:r>
        <w:rPr>
          <w:rFonts w:ascii="Calibri" w:hAnsi="Calibri" w:cs="Calibri"/>
          <w:b w:val="0"/>
          <w:bCs w:val="0"/>
          <w:color w:val="707070"/>
          <w:sz w:val="20"/>
          <w:szCs w:val="20"/>
        </w:rPr>
      </w:r>
    </w:p>
    <w:p w14:paraId="67A0D304">
      <w:pPr>
        <w:pBdr>
          <w:top w:val="single" w:color="bbbbbb" w:sz="6" w:space="0"/>
        </w:pBdr>
        <w:spacing w:after="120" w:before="120"/>
        <w:ind/>
        <w:rPr/>
      </w:pPr>
      <w:r/>
      <w:r/>
    </w:p>
    <w:p w14:paraId="0D608BB2">
      <w:pPr>
        <w:pBdr>
          <w:top w:val="single" w:color="17375e" w:sz="8" w:space="0"/>
        </w:pBdr>
        <w:spacing w:after="160" w:before="400"/>
        <w:ind/>
        <w:rPr>
          <w:rFonts w:ascii="Calibri" w:hAnsi="Calibri" w:cs="Calibri"/>
          <w:b/>
          <w:bCs/>
          <w:color w:val="17375e"/>
          <w:sz w:val="32"/>
          <w:szCs w:val="32"/>
        </w:rPr>
      </w:pPr>
      <w:r>
        <w:rPr>
          <w:rFonts w:ascii="Calibri" w:hAnsi="Calibri" w:eastAsia="Calibri" w:cs="Calibri"/>
          <w:b/>
          <w:bCs/>
          <w:color w:val="17375e"/>
          <w:sz w:val="32"/>
          <w:szCs w:val="32"/>
        </w:rPr>
        <w:t xml:space="preserve">1.  Research Question, Objectives, and Steelman</w:t>
      </w:r>
      <w:r>
        <w:rPr>
          <w:rFonts w:ascii="Calibri" w:hAnsi="Calibri" w:eastAsia="Calibri" w:cs="Calibri"/>
          <w:b/>
          <w:bCs/>
          <w:color w:val="17375e"/>
          <w:sz w:val="32"/>
          <w:szCs w:val="32"/>
        </w:rPr>
      </w:r>
      <w:r>
        <w:rPr>
          <w:rFonts w:ascii="Calibri" w:hAnsi="Calibri" w:cs="Calibri"/>
          <w:b/>
          <w:bCs/>
          <w:color w:val="17375e"/>
          <w:sz w:val="32"/>
          <w:szCs w:val="32"/>
        </w:rPr>
      </w:r>
    </w:p>
    <w:p w14:paraId="74EE633C">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1.1  Testable Research Question</w:t>
      </w:r>
      <w:r>
        <w:rPr>
          <w:rFonts w:ascii="Calibri" w:hAnsi="Calibri" w:eastAsia="Calibri" w:cs="Calibri"/>
          <w:b/>
          <w:bCs/>
          <w:color w:val="264f78"/>
          <w:sz w:val="26"/>
          <w:szCs w:val="26"/>
        </w:rPr>
      </w:r>
      <w:r>
        <w:rPr>
          <w:rFonts w:ascii="Calibri" w:hAnsi="Calibri" w:cs="Calibri"/>
          <w:b/>
          <w:bCs/>
          <w:color w:val="264f78"/>
          <w:sz w:val="26"/>
          <w:szCs w:val="26"/>
        </w:rPr>
      </w:r>
    </w:p>
    <w:p w14:paraId="2BAADFA4">
      <w:pPr>
        <w:pBdr/>
        <w:spacing w:after="120" w:line="276" w:lineRule="auto"/>
        <w:ind/>
        <w:jc w:val="both"/>
        <w:rPr>
          <w:rFonts w:ascii="Calibri" w:hAnsi="Calibri" w:cs="Calibri"/>
          <w:sz w:val="22"/>
          <w:szCs w:val="22"/>
        </w:rPr>
      </w:pPr>
      <w:r>
        <w:rPr>
          <w:rFonts w:ascii="Calibri" w:hAnsi="Calibri" w:eastAsia="Calibri" w:cs="Calibri"/>
          <w:sz w:val="22"/>
          <w:szCs w:val="22"/>
        </w:rPr>
        <w:t xml:space="preserve">Does a hybrid LSTM–LLM pipeline trained on NHANES sleep/behavioral surveillance variables predict EEG-indexed cognitive decline markers</w:t>
      </w:r>
      <w:r>
        <w:rPr>
          <w:rFonts w:ascii="Calibri" w:hAnsi="Calibri" w:eastAsia="Calibri" w:cs="Calibri"/>
          <w:sz w:val="22"/>
          <w:szCs w:val="22"/>
        </w:rPr>
        <w:t xml:space="preserve"> in Sleep-EDF polysomnographic recordings and resting-state sleep-deprivation EEG datasets, outperforming tree-based and standard deep-learning baselines on both behavioral classification (AUC) and EEG biomarker alignment (Pearson correlation / Cohen’s κ)?</w:t>
      </w:r>
      <w:r>
        <w:rPr>
          <w:rFonts w:ascii="Calibri" w:hAnsi="Calibri" w:eastAsia="Calibri" w:cs="Calibri"/>
          <w:sz w:val="22"/>
          <w:szCs w:val="22"/>
        </w:rPr>
      </w:r>
      <w:r>
        <w:rPr>
          <w:rFonts w:ascii="Calibri" w:hAnsi="Calibri" w:cs="Calibri"/>
          <w:sz w:val="22"/>
          <w:szCs w:val="22"/>
        </w:rPr>
      </w:r>
    </w:p>
    <w:p w14:paraId="332901D8">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1.2  Objectives (4)</w:t>
      </w:r>
      <w:r>
        <w:rPr>
          <w:rFonts w:ascii="Calibri" w:hAnsi="Calibri" w:eastAsia="Calibri" w:cs="Calibri"/>
          <w:b/>
          <w:bCs/>
          <w:color w:val="264f78"/>
          <w:sz w:val="26"/>
          <w:szCs w:val="26"/>
        </w:rPr>
      </w:r>
      <w:r>
        <w:rPr>
          <w:rFonts w:ascii="Calibri" w:hAnsi="Calibri" w:cs="Calibri"/>
          <w:b/>
          <w:bCs/>
          <w:color w:val="264f78"/>
          <w:sz w:val="26"/>
          <w:szCs w:val="26"/>
        </w:rPr>
      </w:r>
    </w:p>
    <w:p w14:paraId="3783A75E">
      <w:pPr>
        <w:pBdr/>
        <w:spacing w:after="100" w:line="276" w:lineRule="auto"/>
        <w:ind w:hanging="180" w:left="360"/>
        <w:rPr>
          <w:rFonts w:ascii="Calibri" w:hAnsi="Calibri" w:cs="Calibri"/>
          <w:sz w:val="22"/>
          <w:szCs w:val="22"/>
        </w:rPr>
      </w:pPr>
      <w:r>
        <w:rPr>
          <w:rFonts w:hint="default" w:ascii="Calibri" w:hAnsi="Calibri" w:eastAsia="Calibri" w:cs="Calibri"/>
          <w:b w:val="0"/>
          <w:sz w:val="22"/>
        </w:rPr>
        <w:t xml:space="preserve">•  O1 — Extract a</w:t>
      </w:r>
      <w:r>
        <w:rPr>
          <w:rFonts w:hint="default" w:ascii="Calibri" w:hAnsi="Calibri" w:eastAsia="Calibri" w:cs="Calibri"/>
          <w:b w:val="0"/>
          <w:sz w:val="22"/>
        </w:rPr>
        <w:t xml:space="preserve">nd harmonize a sleep behavioral feature set from NHANES (cycles 2011–2018) — including sleep duration, efficiency variability, daytime dysfunction, and cognitive test scores (DSST, CERAD-WL, AFT) — as population-level predictors of cognitive vulnerability.</w:t>
      </w:r>
      <w:r>
        <w:rPr>
          <w:rFonts w:ascii="Calibri" w:hAnsi="Calibri" w:eastAsia="Calibri" w:cs="Calibri"/>
          <w:sz w:val="22"/>
          <w:szCs w:val="22"/>
        </w:rPr>
      </w:r>
      <w:r>
        <w:rPr>
          <w:rFonts w:ascii="Calibri" w:hAnsi="Calibri" w:cs="Calibri"/>
          <w:sz w:val="22"/>
          <w:szCs w:val="22"/>
        </w:rPr>
      </w:r>
    </w:p>
    <w:p w14:paraId="04AB4800">
      <w:pPr>
        <w:pBdr/>
        <w:spacing w:after="100" w:line="276" w:lineRule="auto"/>
        <w:ind w:hanging="180" w:left="360"/>
        <w:rPr>
          <w:rFonts w:ascii="Calibri" w:hAnsi="Calibri" w:cs="Calibri"/>
          <w:sz w:val="22"/>
          <w:szCs w:val="22"/>
        </w:rPr>
      </w:pPr>
      <w:r>
        <w:rPr>
          <w:rFonts w:hint="default" w:ascii="Calibri" w:hAnsi="Calibri" w:eastAsia="Calibri" w:cs="Calibri"/>
          <w:b w:val="0"/>
          <w:sz w:val="22"/>
        </w:rPr>
        <w:t xml:space="preserve">•  O2 — Derive EEG neural biomarkers of cognitive decline from Sleep-EDF and a dedicated resting-state/sleep-deprivation EEG dataset using a CNN–LSTM encoder trained on sleep stages and vigilance-related power band features (delta, theta, alpha).</w:t>
      </w:r>
      <w:r>
        <w:rPr>
          <w:rFonts w:ascii="Calibri" w:hAnsi="Calibri" w:eastAsia="Calibri" w:cs="Calibri"/>
          <w:sz w:val="22"/>
          <w:szCs w:val="22"/>
        </w:rPr>
      </w:r>
      <w:r>
        <w:rPr>
          <w:rFonts w:ascii="Calibri" w:hAnsi="Calibri" w:cs="Calibri"/>
          <w:sz w:val="22"/>
          <w:szCs w:val="22"/>
        </w:rPr>
      </w:r>
    </w:p>
    <w:p w14:paraId="643E7CAE">
      <w:pPr>
        <w:pBdr/>
        <w:spacing w:after="100" w:line="276" w:lineRule="auto"/>
        <w:ind w:hanging="180" w:left="360"/>
        <w:rPr>
          <w:rFonts w:ascii="Calibri" w:hAnsi="Calibri" w:cs="Calibri"/>
          <w:sz w:val="22"/>
          <w:szCs w:val="22"/>
        </w:rPr>
      </w:pPr>
      <w:r>
        <w:rPr>
          <w:rFonts w:hint="default" w:ascii="Calibri" w:hAnsi="Calibri" w:eastAsia="Calibri" w:cs="Calibri"/>
          <w:b w:val="0"/>
          <w:sz w:val="22"/>
        </w:rPr>
        <w:t xml:space="preserve">•  O3 — Design and train an LSTM–LLM hybrid architec</w:t>
      </w:r>
      <w:r>
        <w:rPr>
          <w:rFonts w:hint="default" w:ascii="Calibri" w:hAnsi="Calibri" w:eastAsia="Calibri" w:cs="Calibri"/>
          <w:b w:val="0"/>
          <w:sz w:val="22"/>
        </w:rPr>
        <w:t xml:space="preserve">ture that (a) uses LSTM for temporal modeling of NHANES behavioral sequences and (b) uses an LLM reasoning module for structured-data fusion, feature weighting, and interpretable hypothesis generation linking behavioral predictors to EEG biomarker outputs.</w:t>
      </w:r>
      <w:r>
        <w:rPr>
          <w:rFonts w:ascii="Calibri" w:hAnsi="Calibri" w:eastAsia="Calibri" w:cs="Calibri"/>
          <w:sz w:val="22"/>
          <w:szCs w:val="22"/>
        </w:rPr>
      </w:r>
      <w:r>
        <w:rPr>
          <w:rFonts w:ascii="Calibri" w:hAnsi="Calibri" w:cs="Calibri"/>
          <w:sz w:val="22"/>
          <w:szCs w:val="22"/>
        </w:rPr>
      </w:r>
    </w:p>
    <w:p w14:paraId="395912B3">
      <w:pPr>
        <w:pBdr/>
        <w:spacing w:after="100" w:line="276" w:lineRule="auto"/>
        <w:ind w:hanging="180" w:left="360"/>
        <w:rPr>
          <w:rFonts w:ascii="Calibri" w:hAnsi="Calibri" w:cs="Calibri"/>
          <w:sz w:val="22"/>
          <w:szCs w:val="22"/>
        </w:rPr>
      </w:pPr>
      <w:r>
        <w:rPr>
          <w:rFonts w:hint="default" w:ascii="Calibri" w:hAnsi="Calibri" w:eastAsia="Calibri" w:cs="Calibri"/>
          <w:b w:val="0"/>
          <w:sz w:val="22"/>
        </w:rPr>
        <w:t xml:space="preserve">•  O4 — Benchmark the pipeline against published baselines (NHANES tree-based AUC ≥ 0.82; CNN–LSTM Sleep-EDF accuracy ≥ 89.2%; EEG–cognitive correlation ≥ 0.79) and report AUC, accuracy, Cohen’s κ, and EEG–behavioral correlation on held-out test sets.</w:t>
      </w:r>
      <w:r>
        <w:rPr>
          <w:rFonts w:ascii="Calibri" w:hAnsi="Calibri" w:eastAsia="Calibri" w:cs="Calibri"/>
          <w:sz w:val="22"/>
          <w:szCs w:val="22"/>
        </w:rPr>
      </w:r>
      <w:r>
        <w:rPr>
          <w:rFonts w:ascii="Calibri" w:hAnsi="Calibri" w:cs="Calibri"/>
          <w:sz w:val="22"/>
          <w:szCs w:val="22"/>
        </w:rPr>
      </w:r>
    </w:p>
    <w:p w14:paraId="3FAADEC5">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1.3  Two-Sentence Steelman of Contribution</w:t>
      </w:r>
      <w:r>
        <w:rPr>
          <w:rFonts w:ascii="Calibri" w:hAnsi="Calibri" w:eastAsia="Calibri" w:cs="Calibri"/>
          <w:b/>
          <w:bCs/>
          <w:color w:val="264f78"/>
          <w:sz w:val="26"/>
          <w:szCs w:val="26"/>
        </w:rPr>
      </w:r>
      <w:r>
        <w:rPr>
          <w:rFonts w:ascii="Calibri" w:hAnsi="Calibri" w:cs="Calibri"/>
          <w:b/>
          <w:bCs/>
          <w:color w:val="264f78"/>
          <w:sz w:val="26"/>
          <w:szCs w:val="26"/>
        </w:rPr>
      </w:r>
    </w:p>
    <w:p w14:paraId="7E9A14F0">
      <w:pPr>
        <w:pBdr/>
        <w:spacing w:after="120" w:line="276" w:lineRule="auto"/>
        <w:ind/>
        <w:jc w:val="both"/>
        <w:rPr>
          <w:rFonts w:ascii="Calibri" w:hAnsi="Calibri" w:cs="Calibri"/>
          <w:bCs/>
          <w:i/>
          <w:sz w:val="22"/>
          <w:szCs w:val="22"/>
        </w:rPr>
      </w:pPr>
      <w:r>
        <w:rPr>
          <w:rFonts w:ascii="Calibri" w:hAnsi="Calibri" w:eastAsia="Calibri" w:cs="Calibri"/>
          <w:i/>
          <w:iCs/>
          <w:sz w:val="22"/>
          <w:szCs w:val="22"/>
        </w:rPr>
        <w:t xml:space="preserve">The proposed framework is the first to bridge population-scale behavioral surve</w:t>
      </w:r>
      <w:r>
        <w:rPr>
          <w:rFonts w:ascii="Calibri" w:hAnsi="Calibri" w:eastAsia="Calibri" w:cs="Calibri"/>
          <w:i/>
          <w:iCs/>
          <w:sz w:val="22"/>
          <w:szCs w:val="22"/>
        </w:rPr>
        <w:t xml:space="preserve">illance (NHANES) with neural-level EEG biomarker validation (Sleep-EDF, sleep-deprivation EEG) via a single LSTM–LLM pipeline, enabling both scalable population screening and mechanistic biomarker grounding in a unified, publicly reproducible architecture.</w:t>
      </w:r>
      <w:r>
        <w:rPr>
          <w:rFonts w:ascii="Calibri" w:hAnsi="Calibri" w:eastAsia="Calibri" w:cs="Calibri"/>
          <w:i/>
          <w:iCs/>
          <w:sz w:val="22"/>
          <w:szCs w:val="22"/>
        </w:rPr>
      </w:r>
      <w:r>
        <w:rPr>
          <w:rFonts w:ascii="Calibri" w:hAnsi="Calibri" w:cs="Calibri"/>
          <w:bCs/>
          <w:i/>
          <w:sz w:val="22"/>
          <w:szCs w:val="22"/>
        </w:rPr>
      </w:r>
    </w:p>
    <w:p w14:paraId="4A884117">
      <w:pPr>
        <w:pBdr/>
        <w:spacing w:after="120" w:line="276" w:lineRule="auto"/>
        <w:ind/>
        <w:jc w:val="both"/>
        <w:rPr>
          <w:rFonts w:ascii="Calibri" w:hAnsi="Calibri" w:cs="Calibri"/>
          <w:bCs/>
          <w:i/>
          <w:sz w:val="22"/>
          <w:szCs w:val="22"/>
        </w:rPr>
      </w:pPr>
      <w:r>
        <w:rPr>
          <w:rFonts w:ascii="Calibri" w:hAnsi="Calibri" w:eastAsia="Calibri" w:cs="Calibri"/>
          <w:i/>
          <w:iCs/>
          <w:sz w:val="22"/>
          <w:szCs w:val="22"/>
        </w:rPr>
        <w:t xml:space="preserve">If validated, the model offers a novel, interpretable pathway from behavioral risk flagging to neurophy</w:t>
      </w:r>
      <w:r>
        <w:rPr>
          <w:rFonts w:ascii="Calibri" w:hAnsi="Calibri" w:eastAsia="Calibri" w:cs="Calibri"/>
          <w:i/>
          <w:iCs/>
          <w:sz w:val="22"/>
          <w:szCs w:val="22"/>
        </w:rPr>
        <w:t xml:space="preserve">siological confirmation of cognitive decline — filling the translation gap between epidemiological sleep studies and neuroscience-grade EEG monitoring — and could inform population-wide cognitive risk stratification without requiring clinical EEG at scale.</w:t>
      </w:r>
      <w:r>
        <w:rPr>
          <w:rFonts w:ascii="Calibri" w:hAnsi="Calibri" w:eastAsia="Calibri" w:cs="Calibri"/>
          <w:i/>
          <w:iCs/>
          <w:sz w:val="22"/>
          <w:szCs w:val="22"/>
        </w:rPr>
      </w:r>
      <w:r>
        <w:rPr>
          <w:rFonts w:ascii="Calibri" w:hAnsi="Calibri" w:cs="Calibri"/>
          <w:bCs/>
          <w:i/>
          <w:sz w:val="22"/>
          <w:szCs w:val="22"/>
        </w:rPr>
      </w:r>
    </w:p>
    <w:p w14:paraId="650C88A2">
      <w:pPr>
        <w:pBdr>
          <w:top w:val="single" w:color="bbbbbb" w:sz="6" w:space="0"/>
        </w:pBdr>
        <w:spacing w:after="120" w:before="120"/>
        <w:ind/>
        <w:rPr/>
      </w:pPr>
      <w:r/>
      <w:r/>
    </w:p>
    <w:p w14:paraId="2376B819">
      <w:pPr>
        <w:pBdr>
          <w:top w:val="single" w:color="17375e" w:sz="8" w:space="0"/>
        </w:pBdr>
        <w:spacing w:after="160" w:before="400"/>
        <w:ind/>
        <w:rPr>
          <w:rFonts w:ascii="Calibri" w:hAnsi="Calibri" w:cs="Calibri"/>
          <w:b/>
          <w:bCs/>
          <w:color w:val="17375e"/>
          <w:sz w:val="32"/>
          <w:szCs w:val="32"/>
        </w:rPr>
      </w:pPr>
      <w:r>
        <w:rPr>
          <w:rFonts w:ascii="Calibri" w:hAnsi="Calibri" w:eastAsia="Calibri" w:cs="Calibri"/>
          <w:b/>
          <w:bCs/>
          <w:color w:val="17375e"/>
          <w:sz w:val="32"/>
          <w:szCs w:val="32"/>
        </w:rPr>
        <w:t xml:space="preserve">2.  Closest-Works Table</w:t>
      </w:r>
      <w:r>
        <w:rPr>
          <w:rFonts w:ascii="Calibri" w:hAnsi="Calibri" w:eastAsia="Calibri" w:cs="Calibri"/>
          <w:b/>
          <w:bCs/>
          <w:color w:val="17375e"/>
          <w:sz w:val="32"/>
          <w:szCs w:val="32"/>
        </w:rPr>
      </w:r>
      <w:r>
        <w:rPr>
          <w:rFonts w:ascii="Calibri" w:hAnsi="Calibri" w:cs="Calibri"/>
          <w:b/>
          <w:bCs/>
          <w:color w:val="17375e"/>
          <w:sz w:val="32"/>
          <w:szCs w:val="32"/>
        </w:rPr>
      </w:r>
    </w:p>
    <w:p w14:paraId="5588C627">
      <w:pPr>
        <w:pBdr/>
        <w:spacing w:after="120" w:line="276" w:lineRule="auto"/>
        <w:ind/>
        <w:jc w:val="both"/>
        <w:rPr>
          <w:rFonts w:ascii="Calibri" w:hAnsi="Calibri" w:cs="Calibri"/>
          <w:sz w:val="22"/>
          <w:szCs w:val="22"/>
        </w:rPr>
      </w:pPr>
      <w:r>
        <w:rPr>
          <w:rFonts w:ascii="Calibri" w:hAnsi="Calibri" w:eastAsia="Calibri" w:cs="Calibri"/>
          <w:sz w:val="22"/>
          <w:szCs w:val="22"/>
        </w:rPr>
        <w:t xml:space="preserve">The eight works below represent the closest prior art identified</w:t>
      </w:r>
      <w:r>
        <w:rPr>
          <w:rFonts w:ascii="Calibri" w:hAnsi="Calibri" w:eastAsia="Calibri" w:cs="Calibri"/>
          <w:sz w:val="22"/>
          <w:szCs w:val="22"/>
        </w:rPr>
        <w:t xml:space="preserve"> across five literature searches (SciSpace, PubMed, Google Scholar, arXiv) and one patent search. All metrics are sourced directly from paper abstracts. The ‘Exact Delta’ column states the precise gap that the proposed pipeline fills relative to each work.</w:t>
      </w:r>
      <w:r>
        <w:rPr>
          <w:rFonts w:ascii="Calibri" w:hAnsi="Calibri" w:eastAsia="Calibri" w:cs="Calibri"/>
          <w:sz w:val="22"/>
          <w:szCs w:val="22"/>
        </w:rPr>
      </w:r>
      <w:r>
        <w:rPr>
          <w:rFonts w:ascii="Calibri" w:hAnsi="Calibri" w:cs="Calibri"/>
          <w:sz w:val="22"/>
          <w:szCs w:val="22"/>
        </w:rPr>
      </w:r>
    </w:p>
    <w:tbl>
      <w:tblPr>
        <w:tblInd w:w="3402" w:type="dxa"/>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2"/>
        <w:gridCol w:w="222"/>
        <w:gridCol w:w="222"/>
        <w:gridCol w:w="222"/>
        <w:gridCol w:w="222"/>
        <w:gridCol w:w="222"/>
        <w:gridCol w:w="222"/>
      </w:tblGrid>
      <w:tr>
        <w:trPr/>
        <w:tc>
          <w:tcPr>
            <w:shd w:val="clear" w:color="17375e" w:fill="17375e"/>
            <w:tcBorders/>
          </w:tcPr>
          <w:p w14:paraId="59A97B5E">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w:t>
            </w:r>
            <w:r>
              <w:rPr>
                <w:rFonts w:ascii="Calibri" w:hAnsi="Calibri" w:eastAsia="Calibri" w:cs="Calibri"/>
                <w:b/>
                <w:bCs/>
                <w:color w:val="ffffff"/>
                <w:sz w:val="18"/>
                <w:szCs w:val="18"/>
              </w:rPr>
            </w:r>
            <w:r>
              <w:rPr>
                <w:rFonts w:ascii="Calibri" w:hAnsi="Calibri" w:cs="Calibri"/>
                <w:b/>
                <w:bCs/>
                <w:color w:val="ffffff"/>
                <w:sz w:val="18"/>
                <w:szCs w:val="18"/>
              </w:rPr>
            </w:r>
          </w:p>
        </w:tc>
        <w:tc>
          <w:tcPr>
            <w:shd w:val="clear" w:color="17375e" w:fill="17375e"/>
            <w:tcBorders/>
          </w:tcPr>
          <w:p w14:paraId="3167C3E7">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Authors &amp; Year</w:t>
            </w:r>
            <w:r>
              <w:rPr>
                <w:rFonts w:ascii="Calibri" w:hAnsi="Calibri" w:eastAsia="Calibri" w:cs="Calibri"/>
                <w:b/>
                <w:bCs/>
                <w:color w:val="ffffff"/>
                <w:sz w:val="18"/>
                <w:szCs w:val="18"/>
              </w:rPr>
            </w:r>
            <w:r>
              <w:rPr>
                <w:rFonts w:ascii="Calibri" w:hAnsi="Calibri" w:cs="Calibri"/>
                <w:b/>
                <w:bCs/>
                <w:color w:val="ffffff"/>
                <w:sz w:val="18"/>
                <w:szCs w:val="18"/>
              </w:rPr>
            </w:r>
          </w:p>
        </w:tc>
        <w:tc>
          <w:tcPr>
            <w:shd w:val="clear" w:color="17375e" w:fill="17375e"/>
            <w:tcBorders/>
          </w:tcPr>
          <w:p w14:paraId="65E2519B">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Venue</w:t>
            </w:r>
            <w:r>
              <w:rPr>
                <w:rFonts w:ascii="Calibri" w:hAnsi="Calibri" w:eastAsia="Calibri" w:cs="Calibri"/>
                <w:b/>
                <w:bCs/>
                <w:color w:val="ffffff"/>
                <w:sz w:val="18"/>
                <w:szCs w:val="18"/>
              </w:rPr>
            </w:r>
            <w:r>
              <w:rPr>
                <w:rFonts w:ascii="Calibri" w:hAnsi="Calibri" w:cs="Calibri"/>
                <w:b/>
                <w:bCs/>
                <w:color w:val="ffffff"/>
                <w:sz w:val="18"/>
                <w:szCs w:val="18"/>
              </w:rPr>
            </w:r>
          </w:p>
        </w:tc>
        <w:tc>
          <w:tcPr>
            <w:shd w:val="clear" w:color="17375e" w:fill="17375e"/>
            <w:tcBorders/>
          </w:tcPr>
          <w:p w14:paraId="2733617A">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Link / DOI</w:t>
            </w:r>
            <w:r>
              <w:rPr>
                <w:rFonts w:ascii="Calibri" w:hAnsi="Calibri" w:eastAsia="Calibri" w:cs="Calibri"/>
                <w:b/>
                <w:bCs/>
                <w:color w:val="ffffff"/>
                <w:sz w:val="18"/>
                <w:szCs w:val="18"/>
              </w:rPr>
            </w:r>
            <w:r>
              <w:rPr>
                <w:rFonts w:ascii="Calibri" w:hAnsi="Calibri" w:cs="Calibri"/>
                <w:b/>
                <w:bCs/>
                <w:color w:val="ffffff"/>
                <w:sz w:val="18"/>
                <w:szCs w:val="18"/>
              </w:rPr>
            </w:r>
          </w:p>
        </w:tc>
        <w:tc>
          <w:tcPr>
            <w:shd w:val="clear" w:color="17375e" w:fill="17375e"/>
            <w:tcBorders/>
          </w:tcPr>
          <w:p w14:paraId="0F0D104C">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What It Does</w:t>
            </w:r>
            <w:r>
              <w:rPr>
                <w:rFonts w:ascii="Calibri" w:hAnsi="Calibri" w:eastAsia="Calibri" w:cs="Calibri"/>
                <w:b/>
                <w:bCs/>
                <w:color w:val="ffffff"/>
                <w:sz w:val="18"/>
                <w:szCs w:val="18"/>
              </w:rPr>
            </w:r>
            <w:r>
              <w:rPr>
                <w:rFonts w:ascii="Calibri" w:hAnsi="Calibri" w:cs="Calibri"/>
                <w:b/>
                <w:bCs/>
                <w:color w:val="ffffff"/>
                <w:sz w:val="18"/>
                <w:szCs w:val="18"/>
              </w:rPr>
            </w:r>
          </w:p>
        </w:tc>
        <w:tc>
          <w:tcPr>
            <w:shd w:val="clear" w:color="17375e" w:fill="17375e"/>
            <w:tcBorders/>
          </w:tcPr>
          <w:p w14:paraId="152CF4E1">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Exact Delta vs. Proposal</w:t>
            </w:r>
            <w:r>
              <w:rPr>
                <w:rFonts w:ascii="Calibri" w:hAnsi="Calibri" w:eastAsia="Calibri" w:cs="Calibri"/>
                <w:b/>
                <w:bCs/>
                <w:color w:val="ffffff"/>
                <w:sz w:val="18"/>
                <w:szCs w:val="18"/>
              </w:rPr>
            </w:r>
            <w:r>
              <w:rPr>
                <w:rFonts w:ascii="Calibri" w:hAnsi="Calibri" w:cs="Calibri"/>
                <w:b/>
                <w:bCs/>
                <w:color w:val="ffffff"/>
                <w:sz w:val="18"/>
                <w:szCs w:val="18"/>
              </w:rPr>
            </w:r>
          </w:p>
        </w:tc>
        <w:tc>
          <w:tcPr>
            <w:shd w:val="clear" w:color="17375e" w:fill="17375e"/>
            <w:tcBorders/>
          </w:tcPr>
          <w:p w14:paraId="3C226860">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Reported Numbers</w:t>
            </w:r>
            <w:r>
              <w:rPr>
                <w:rFonts w:ascii="Calibri" w:hAnsi="Calibri" w:eastAsia="Calibri" w:cs="Calibri"/>
                <w:b/>
                <w:bCs/>
                <w:color w:val="ffffff"/>
                <w:sz w:val="18"/>
                <w:szCs w:val="18"/>
              </w:rPr>
            </w:r>
            <w:r>
              <w:rPr>
                <w:rFonts w:ascii="Calibri" w:hAnsi="Calibri" w:cs="Calibri"/>
                <w:b/>
                <w:bCs/>
                <w:color w:val="ffffff"/>
                <w:sz w:val="18"/>
                <w:szCs w:val="18"/>
              </w:rPr>
            </w:r>
          </w:p>
        </w:tc>
      </w:tr>
      <w:tr>
        <w:trPr/>
        <w:tc>
          <w:tcPr>
            <w:tcBorders/>
            <w:vMerge w:val="restart"/>
          </w:tcPr>
          <w:p w14:paraId="406A13C8">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1</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21B3E0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Stikic et al. 2011</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19B46BD7">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Frontiers Human Neuroscience</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636A3E91">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10.3389/FNHUM.2011.00070</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68A26224">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EEG estimates present and future cognitive performance (reaction time / accuracy) during a 20-min sustained attention task; n=50.</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240AB35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No NHANES, no Sleep-EDF, no LLM, no LSTM population pipeline.</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E2DC0E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Corr 0.89 (present), 0.79 (future)</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r>
        <w:trPr/>
        <w:tc>
          <w:tcPr>
            <w:shd w:val="clear" w:color="f2f2f2" w:fill="f2f2f2"/>
            <w:tcBorders/>
            <w:vMerge w:val="restart"/>
          </w:tcPr>
          <w:p w14:paraId="00D50232">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2</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6D8EE0D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Harel et al. 2025</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6EEBB607">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 (Oxford)</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493B8094">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10.1093/sleep/zsaf080</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72EC3AAA">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EEG predicts reaction time under sleep deprivation in IAF cadets/UAV operators; EEG feature importance analysis.</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51FED2D4">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No NHANES, no Sleep-EDF cross-validation, no LLM, no LSTM population pipeline.</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75F079A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Numeric metrics not in abstract</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r>
        <w:trPr/>
        <w:tc>
          <w:tcPr>
            <w:tcBorders/>
            <w:vMerge w:val="restart"/>
          </w:tcPr>
          <w:p w14:paraId="0BA0B397">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3</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702FB3C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Sakal et al. 2024</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54FFBD5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npj Aging</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5A06E2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10.1038/s41514-024-00177-x</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78CE6A7B">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accelerometer + sleep features fed to CatBoost/XGBoost/RF to predict cognitive test performance in older adults (n&gt;2,400).</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1DE34D9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No EEG, no Sleep-EDF, no LSTM/LLM hybrid; tree-based models only.</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042474C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AUC &gt;=0.82 (processing speed/attention); ~0.72 (recall)</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r>
        <w:trPr/>
        <w:tc>
          <w:tcPr>
            <w:shd w:val="clear" w:color="f2f2f2" w:fill="f2f2f2"/>
            <w:tcBorders/>
            <w:vMerge w:val="restart"/>
          </w:tcPr>
          <w:p w14:paraId="10B2C28A">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4</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42F3409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Sidhu et al. 2025</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547DD40C">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IEEE ICEC2NT</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3EE74350">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10.1109/icec2nt65402.2025.11379999</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548E2E7C">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Hybrid CNN-LSTM for automated sleep stage classification on Sleep-EDF to aid sleep disorder diagnosis.</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5C54CE6C">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 staging only -- no cognitive decline prediction, no NHANES, no LLM.</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1C13FD29">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Accuracy 89.2% (Sleep-EDF)</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r>
        <w:trPr/>
        <w:tc>
          <w:tcPr>
            <w:tcBorders/>
            <w:vMerge w:val="restart"/>
          </w:tcPr>
          <w:p w14:paraId="6762F2EB">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5</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6AA9EEB8">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Almutairi et al. 2023</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F348C6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SSNet (preprint)</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A0A2DD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scispace.com papers/24n8tj35</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C4D977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End-to-end CNN + LSTM sleep staging from PSG (EEG, EOG, EMG) on Sleep-EDF Expanded + ISRUC; 3- and 5-class.</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4865FA9C">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 staging only -- no cognitive prediction, no NHANES, no LLM.</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1DE92DD3">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Acc 96.57%, k 0.8305 (5-class, Sleep-EDF Expanded)</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r>
        <w:trPr/>
        <w:tc>
          <w:tcPr>
            <w:shd w:val="clear" w:color="f2f2f2" w:fill="f2f2f2"/>
            <w:tcBorders/>
            <w:vMerge w:val="restart"/>
          </w:tcPr>
          <w:p w14:paraId="07F2E5A9">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6</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36D2B9B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Samaee et al. 2025</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15F92C49">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arXiv (NeuroLingua)</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4C955CD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arXiv: 2511.09773</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4C760B2A">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Hierarchical Transformer (CNN tokenizer + dual Transformers + GCN) for multimodal sleep staging on Sleep-EDF + ISRUC; interpretability focus.</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43057C87">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 staging + interpretability only -- no NHANES, no cognitive decline prediction, no LLM fusion.</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519A22B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Acc 85.3%, F1 0.800, k 0.796 (Sleep-EDF)</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r>
        <w:trPr/>
        <w:tc>
          <w:tcPr>
            <w:tcBorders/>
            <w:vMerge w:val="restart"/>
          </w:tcPr>
          <w:p w14:paraId="515B6901">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7</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7D740F94">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Titus 2023</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0E0A9A44">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medRxiv (NHANES-GPT)</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4FB64F79">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10.1101/2023.12.13.23299830</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1E581E0">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Demonstrates LLM (ChatGPT) guiding biostatistical analysis of NHANES for obesity/diabetes trends; proposes LLM verification workflow.</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38F2F18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LLM + NHANES but no EEG, no LSTM temporal modeling, no sleep-cognitive prediction pipeline.</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tcBorders/>
            <w:vMerge w:val="restart"/>
          </w:tcPr>
          <w:p w14:paraId="6BB1ACC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No ML performance metrics</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r>
        <w:trPr/>
        <w:tc>
          <w:tcPr>
            <w:shd w:val="clear" w:color="f2f2f2" w:fill="f2f2f2"/>
            <w:tcBorders/>
            <w:vMerge w:val="restart"/>
          </w:tcPr>
          <w:p w14:paraId="4BFFE23E">
            <w:pPr>
              <w:pBdr/>
              <w:spacing/>
              <w:ind/>
              <w:jc w:val="center"/>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8</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4A060161">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Low et al. 2019</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1D568039">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Am J Geriatric Psychiatry</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7079B94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10.1016/J.JAGP.2019.07.001</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1DC5F7E1">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2013-2014 (n=1,496 older adults): multivariable regression of sleep duration on CERAD-WL, AFT, and DSST cognitive tests.</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37BC38B4">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No EEG, no LSTM/LLM, no biomarker validation; regression associations only.</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c>
          <w:tcPr>
            <w:shd w:val="clear" w:color="f2f2f2" w:fill="f2f2f2"/>
            <w:tcBorders/>
            <w:vMerge w:val="restart"/>
          </w:tcPr>
          <w:p w14:paraId="667CB498">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Significant associations for long sleep duration reported</w:t>
            </w:r>
            <w:r>
              <w:rPr>
                <w:rFonts w:ascii="Calibri" w:hAnsi="Calibri" w:eastAsia="Calibri" w:cs="Calibri"/>
                <w:b w:val="0"/>
                <w:bCs w:val="0"/>
                <w:color w:val="000000"/>
                <w:sz w:val="18"/>
                <w:szCs w:val="18"/>
              </w:rPr>
            </w:r>
            <w:r>
              <w:rPr>
                <w:rFonts w:ascii="Calibri" w:hAnsi="Calibri" w:cs="Calibri"/>
                <w:b w:val="0"/>
                <w:bCs w:val="0"/>
                <w:color w:val="000000"/>
                <w:sz w:val="18"/>
                <w:szCs w:val="18"/>
              </w:rPr>
            </w:r>
          </w:p>
        </w:tc>
      </w:tr>
    </w:tbl>
    <w:p w14:paraId="7BA5FAC3">
      <w:pPr>
        <w:pBdr/>
        <w:spacing/>
        <w:ind/>
        <w:rPr/>
      </w:pPr>
      <w:r/>
      <w:r/>
    </w:p>
    <w:p w14:paraId="3B7F66E3">
      <w:pPr>
        <w:pBdr>
          <w:top w:val="single" w:color="bbbbbb" w:sz="6" w:space="0"/>
        </w:pBdr>
        <w:spacing w:after="120" w:before="120"/>
        <w:ind/>
        <w:rPr/>
      </w:pPr>
      <w:r/>
    </w:p>
    <w:p w14:paraId="2C24853B">
      <w:pPr>
        <w:pBdr>
          <w:top w:val="single" w:color="17375e" w:sz="8" w:space="0"/>
        </w:pBdr>
        <w:spacing w:after="160" w:before="400"/>
        <w:ind/>
        <w:rPr>
          <w:rFonts w:ascii="Calibri" w:hAnsi="Calibri" w:cs="Calibri"/>
          <w:b/>
          <w:bCs/>
          <w:color w:val="17375e"/>
          <w:sz w:val="32"/>
          <w:szCs w:val="32"/>
        </w:rPr>
      </w:pPr>
      <w:r>
        <w:rPr>
          <w:rFonts w:ascii="Calibri" w:hAnsi="Calibri" w:eastAsia="Calibri" w:cs="Calibri"/>
          <w:b/>
          <w:bCs/>
          <w:color w:val="17375e"/>
          <w:sz w:val="32"/>
          <w:szCs w:val="32"/>
        </w:rPr>
        <w:t xml:space="preserve">3.  Adjacent-Work Table</w:t>
      </w:r>
      <w:r>
        <w:rPr>
          <w:rFonts w:ascii="Calibri" w:hAnsi="Calibri" w:eastAsia="Calibri" w:cs="Calibri"/>
          <w:b/>
          <w:bCs/>
          <w:color w:val="17375e"/>
          <w:sz w:val="32"/>
          <w:szCs w:val="32"/>
        </w:rPr>
      </w:r>
    </w:p>
    <w:p w14:paraId="06776222">
      <w:pPr>
        <w:pBdr/>
        <w:spacing w:after="120" w:line="276" w:lineRule="auto"/>
        <w:ind/>
        <w:jc w:val="both"/>
        <w:rPr>
          <w:rFonts w:ascii="Calibri" w:hAnsi="Calibri" w:cs="Calibri"/>
          <w:sz w:val="22"/>
          <w:szCs w:val="22"/>
        </w:rPr>
      </w:pPr>
      <w:r>
        <w:rPr>
          <w:rFonts w:ascii="Calibri" w:hAnsi="Calibri" w:eastAsia="Calibri" w:cs="Calibri"/>
          <w:sz w:val="22"/>
          <w:szCs w:val="22"/>
        </w:rPr>
        <w:t xml:space="preserve">These five works are adjacent to but do not directly compete with the proposed pipeline. They share one or two modalities or datasets but lack the integrating LSTM–LLM fusion or the NHANES–EEG bridging structure. They are cited as ‘adjacent’ to acknowledge the surrounding literature and identify complementary design choices.</w:t>
      </w:r>
      <w:r>
        <w:rPr>
          <w:rFonts w:ascii="Calibri" w:hAnsi="Calibri" w:eastAsia="Calibri" w:cs="Calibri"/>
          <w:sz w:val="22"/>
          <w:szCs w:val="22"/>
        </w:rPr>
      </w:r>
    </w:p>
    <w:tbl>
      <w:tblPr>
        <w:tblInd w:w="3402" w:type="dxa"/>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2"/>
        <w:gridCol w:w="222"/>
        <w:gridCol w:w="222"/>
        <w:gridCol w:w="222"/>
      </w:tblGrid>
      <w:tr>
        <w:trPr/>
        <w:tc>
          <w:tcPr>
            <w:shd w:val="clear" w:color="17375e" w:fill="17375e"/>
            <w:tcBorders/>
          </w:tcPr>
          <w:p w14:paraId="1716207A">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Authors &amp; Year</w:t>
            </w:r>
            <w:r>
              <w:rPr>
                <w:rFonts w:ascii="Calibri" w:hAnsi="Calibri" w:eastAsia="Calibri" w:cs="Calibri"/>
                <w:b/>
                <w:bCs/>
                <w:color w:val="ffffff"/>
                <w:sz w:val="18"/>
                <w:szCs w:val="18"/>
              </w:rPr>
            </w:r>
          </w:p>
        </w:tc>
        <w:tc>
          <w:tcPr>
            <w:shd w:val="clear" w:color="17375e" w:fill="17375e"/>
            <w:tcBorders/>
          </w:tcPr>
          <w:p w14:paraId="35C8ECF5">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Venue</w:t>
            </w:r>
            <w:r>
              <w:rPr>
                <w:rFonts w:ascii="Calibri" w:hAnsi="Calibri" w:eastAsia="Calibri" w:cs="Calibri"/>
                <w:b/>
                <w:bCs/>
                <w:color w:val="ffffff"/>
                <w:sz w:val="18"/>
                <w:szCs w:val="18"/>
              </w:rPr>
            </w:r>
          </w:p>
        </w:tc>
        <w:tc>
          <w:tcPr>
            <w:shd w:val="clear" w:color="17375e" w:fill="17375e"/>
            <w:tcBorders/>
          </w:tcPr>
          <w:p w14:paraId="16D45DB0">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Link / DOI</w:t>
            </w:r>
            <w:r>
              <w:rPr>
                <w:rFonts w:ascii="Calibri" w:hAnsi="Calibri" w:eastAsia="Calibri" w:cs="Calibri"/>
                <w:b/>
                <w:bCs/>
                <w:color w:val="ffffff"/>
                <w:sz w:val="18"/>
                <w:szCs w:val="18"/>
              </w:rPr>
            </w:r>
          </w:p>
        </w:tc>
        <w:tc>
          <w:tcPr>
            <w:shd w:val="clear" w:color="17375e" w:fill="17375e"/>
            <w:tcBorders/>
          </w:tcPr>
          <w:p w14:paraId="59D92591">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Relation to Proposal</w:t>
            </w:r>
            <w:r>
              <w:rPr>
                <w:rFonts w:ascii="Calibri" w:hAnsi="Calibri" w:eastAsia="Calibri" w:cs="Calibri"/>
                <w:b/>
                <w:bCs/>
                <w:color w:val="ffffff"/>
                <w:sz w:val="18"/>
                <w:szCs w:val="18"/>
              </w:rPr>
            </w:r>
          </w:p>
        </w:tc>
      </w:tr>
      <w:tr>
        <w:trPr/>
        <w:tc>
          <w:tcPr>
            <w:tcBorders/>
            <w:vMerge w:val="restart"/>
          </w:tcPr>
          <w:p w14:paraId="70CF28E0">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Wang et al. 2025</w:t>
            </w:r>
            <w:r>
              <w:rPr>
                <w:rFonts w:ascii="Calibri" w:hAnsi="Calibri" w:eastAsia="Calibri" w:cs="Calibri"/>
                <w:b w:val="0"/>
                <w:bCs w:val="0"/>
                <w:color w:val="000000"/>
                <w:sz w:val="18"/>
                <w:szCs w:val="18"/>
              </w:rPr>
            </w:r>
          </w:p>
        </w:tc>
        <w:tc>
          <w:tcPr>
            <w:tcBorders/>
            <w:vMerge w:val="restart"/>
          </w:tcPr>
          <w:p w14:paraId="32A3BDA7">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J Affective Disorders</w:t>
            </w:r>
            <w:r>
              <w:rPr>
                <w:rFonts w:ascii="Calibri" w:hAnsi="Calibri" w:eastAsia="Calibri" w:cs="Calibri"/>
                <w:b w:val="0"/>
                <w:bCs w:val="0"/>
                <w:color w:val="000000"/>
                <w:sz w:val="18"/>
                <w:szCs w:val="18"/>
              </w:rPr>
            </w:r>
          </w:p>
        </w:tc>
        <w:tc>
          <w:tcPr>
            <w:tcBorders/>
            <w:vMerge w:val="restart"/>
          </w:tcPr>
          <w:p w14:paraId="0F7EBC9A">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10.1016/j.jad.2025.01.154</w:t>
            </w:r>
            <w:r>
              <w:rPr>
                <w:rFonts w:ascii="Calibri" w:hAnsi="Calibri" w:eastAsia="Calibri" w:cs="Calibri"/>
                <w:b w:val="0"/>
                <w:bCs w:val="0"/>
                <w:color w:val="000000"/>
                <w:sz w:val="18"/>
                <w:szCs w:val="18"/>
              </w:rPr>
            </w:r>
          </w:p>
        </w:tc>
        <w:tc>
          <w:tcPr>
            <w:tcBorders/>
            <w:vMerge w:val="restart"/>
          </w:tcPr>
          <w:p w14:paraId="41F3E5F8">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2011–2014: inflammatory biomarkers mediate the relationship between sleep duration and cognitive performance. Establishes the NHANES sleep–cognition epidemiological pathway our pipeline operationalises at scale.</w:t>
            </w:r>
            <w:r>
              <w:rPr>
                <w:rFonts w:ascii="Calibri" w:hAnsi="Calibri" w:eastAsia="Calibri" w:cs="Calibri"/>
                <w:b w:val="0"/>
                <w:bCs w:val="0"/>
                <w:color w:val="000000"/>
                <w:sz w:val="18"/>
                <w:szCs w:val="18"/>
              </w:rPr>
            </w:r>
          </w:p>
        </w:tc>
      </w:tr>
      <w:tr>
        <w:trPr/>
        <w:tc>
          <w:tcPr>
            <w:shd w:val="clear" w:color="f2f2f2" w:fill="f2f2f2"/>
            <w:tcBorders/>
            <w:vMerge w:val="restart"/>
          </w:tcPr>
          <w:p w14:paraId="735623B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Yu et al. 2024</w:t>
            </w:r>
            <w:r>
              <w:rPr>
                <w:rFonts w:ascii="Calibri" w:hAnsi="Calibri" w:eastAsia="Calibri" w:cs="Calibri"/>
                <w:b w:val="0"/>
                <w:bCs w:val="0"/>
                <w:color w:val="000000"/>
                <w:sz w:val="18"/>
                <w:szCs w:val="18"/>
              </w:rPr>
            </w:r>
          </w:p>
        </w:tc>
        <w:tc>
          <w:tcPr>
            <w:shd w:val="clear" w:color="f2f2f2" w:fill="f2f2f2"/>
            <w:tcBorders/>
            <w:vMerge w:val="restart"/>
          </w:tcPr>
          <w:p w14:paraId="45628FFC">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Biological Research for Nursing</w:t>
            </w:r>
            <w:r>
              <w:rPr>
                <w:rFonts w:ascii="Calibri" w:hAnsi="Calibri" w:eastAsia="Calibri" w:cs="Calibri"/>
                <w:b w:val="0"/>
                <w:bCs w:val="0"/>
                <w:color w:val="000000"/>
                <w:sz w:val="18"/>
                <w:szCs w:val="18"/>
              </w:rPr>
            </w:r>
          </w:p>
        </w:tc>
        <w:tc>
          <w:tcPr>
            <w:shd w:val="clear" w:color="f2f2f2" w:fill="f2f2f2"/>
            <w:tcBorders/>
            <w:vMerge w:val="restart"/>
          </w:tcPr>
          <w:p w14:paraId="112DA54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10.1177/10998004241230325</w:t>
            </w:r>
            <w:r>
              <w:rPr>
                <w:rFonts w:ascii="Calibri" w:hAnsi="Calibri" w:eastAsia="Calibri" w:cs="Calibri"/>
                <w:b w:val="0"/>
                <w:bCs w:val="0"/>
                <w:color w:val="000000"/>
                <w:sz w:val="18"/>
                <w:szCs w:val="18"/>
              </w:rPr>
            </w:r>
          </w:p>
        </w:tc>
        <w:tc>
          <w:tcPr>
            <w:shd w:val="clear" w:color="f2f2f2" w:fill="f2f2f2"/>
            <w:tcBorders/>
            <w:vMerge w:val="restart"/>
          </w:tcPr>
          <w:p w14:paraId="11A9FC8B">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 UK Biobank GWAS: genetic and environmental sleep factors jointly shape cognitive outcomes. Corroborates NHANES sleep features as valid behavioral predictors; our work adds an EEG neural validation layer.</w:t>
            </w:r>
            <w:r>
              <w:rPr>
                <w:rFonts w:ascii="Calibri" w:hAnsi="Calibri" w:eastAsia="Calibri" w:cs="Calibri"/>
                <w:b w:val="0"/>
                <w:bCs w:val="0"/>
                <w:color w:val="000000"/>
                <w:sz w:val="18"/>
                <w:szCs w:val="18"/>
              </w:rPr>
            </w:r>
          </w:p>
        </w:tc>
      </w:tr>
      <w:tr>
        <w:trPr/>
        <w:tc>
          <w:tcPr>
            <w:tcBorders/>
            <w:vMerge w:val="restart"/>
          </w:tcPr>
          <w:p w14:paraId="3656217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Wu &amp; Yuan 2024</w:t>
            </w:r>
            <w:r>
              <w:rPr>
                <w:rFonts w:ascii="Calibri" w:hAnsi="Calibri" w:eastAsia="Calibri" w:cs="Calibri"/>
                <w:b w:val="0"/>
                <w:bCs w:val="0"/>
                <w:color w:val="000000"/>
                <w:sz w:val="18"/>
                <w:szCs w:val="18"/>
              </w:rPr>
            </w:r>
          </w:p>
        </w:tc>
        <w:tc>
          <w:tcPr>
            <w:tcBorders/>
            <w:vMerge w:val="restart"/>
          </w:tcPr>
          <w:p w14:paraId="2E41648A">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Res Square (preprint)</w:t>
            </w:r>
            <w:r>
              <w:rPr>
                <w:rFonts w:ascii="Calibri" w:hAnsi="Calibri" w:eastAsia="Calibri" w:cs="Calibri"/>
                <w:b w:val="0"/>
                <w:bCs w:val="0"/>
                <w:color w:val="000000"/>
                <w:sz w:val="18"/>
                <w:szCs w:val="18"/>
              </w:rPr>
            </w:r>
          </w:p>
        </w:tc>
        <w:tc>
          <w:tcPr>
            <w:tcBorders/>
            <w:vMerge w:val="restart"/>
          </w:tcPr>
          <w:p w14:paraId="64FD95F9">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10.21203/rs.3.rs-3972564/v1</w:t>
            </w:r>
            <w:r>
              <w:rPr>
                <w:rFonts w:ascii="Calibri" w:hAnsi="Calibri" w:eastAsia="Calibri" w:cs="Calibri"/>
                <w:b w:val="0"/>
                <w:bCs w:val="0"/>
                <w:color w:val="000000"/>
                <w:sz w:val="18"/>
                <w:szCs w:val="18"/>
              </w:rPr>
            </w:r>
          </w:p>
        </w:tc>
        <w:tc>
          <w:tcPr>
            <w:tcBorders/>
            <w:vMerge w:val="restart"/>
          </w:tcPr>
          <w:p w14:paraId="482E4F0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cross-sectional: sleep quality dimensions (insomnia, daytime sleepiness, duration) associated with cognitive decline in older adults (n&gt;10,000). Supports the NHANES feature set; our work extends to LSTM temporal modeling.</w:t>
            </w:r>
            <w:r>
              <w:rPr>
                <w:rFonts w:ascii="Calibri" w:hAnsi="Calibri" w:eastAsia="Calibri" w:cs="Calibri"/>
                <w:b w:val="0"/>
                <w:bCs w:val="0"/>
                <w:color w:val="000000"/>
                <w:sz w:val="18"/>
                <w:szCs w:val="18"/>
              </w:rPr>
            </w:r>
          </w:p>
        </w:tc>
      </w:tr>
      <w:tr>
        <w:trPr/>
        <w:tc>
          <w:tcPr>
            <w:shd w:val="clear" w:color="f2f2f2" w:fill="f2f2f2"/>
            <w:tcBorders/>
            <w:vMerge w:val="restart"/>
          </w:tcPr>
          <w:p w14:paraId="348C3D7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Sakal et al. 2024 (sleep efficiency)</w:t>
            </w:r>
            <w:r>
              <w:rPr>
                <w:rFonts w:ascii="Calibri" w:hAnsi="Calibri" w:eastAsia="Calibri" w:cs="Calibri"/>
                <w:b w:val="0"/>
                <w:bCs w:val="0"/>
                <w:color w:val="000000"/>
                <w:sz w:val="18"/>
                <w:szCs w:val="18"/>
              </w:rPr>
            </w:r>
          </w:p>
        </w:tc>
        <w:tc>
          <w:tcPr>
            <w:shd w:val="clear" w:color="f2f2f2" w:fill="f2f2f2"/>
            <w:tcBorders/>
            <w:vMerge w:val="restart"/>
          </w:tcPr>
          <w:p w14:paraId="619F04A6">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Zenodo preprint</w:t>
            </w:r>
            <w:r>
              <w:rPr>
                <w:rFonts w:ascii="Calibri" w:hAnsi="Calibri" w:eastAsia="Calibri" w:cs="Calibri"/>
                <w:b w:val="0"/>
                <w:bCs w:val="0"/>
                <w:color w:val="000000"/>
                <w:sz w:val="18"/>
                <w:szCs w:val="18"/>
              </w:rPr>
            </w:r>
          </w:p>
        </w:tc>
        <w:tc>
          <w:tcPr>
            <w:shd w:val="clear" w:color="f2f2f2" w:fill="f2f2f2"/>
            <w:tcBorders/>
            <w:vMerge w:val="restart"/>
          </w:tcPr>
          <w:p w14:paraId="55AC1001">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10.60692/6jb3g-vmx90</w:t>
            </w:r>
            <w:r>
              <w:rPr>
                <w:rFonts w:ascii="Calibri" w:hAnsi="Calibri" w:eastAsia="Calibri" w:cs="Calibri"/>
                <w:b w:val="0"/>
                <w:bCs w:val="0"/>
                <w:color w:val="000000"/>
                <w:sz w:val="18"/>
                <w:szCs w:val="18"/>
              </w:rPr>
            </w:r>
          </w:p>
        </w:tc>
        <w:tc>
          <w:tcPr>
            <w:shd w:val="clear" w:color="f2f2f2" w:fill="f2f2f2"/>
            <w:tcBorders/>
            <w:vMerge w:val="restart"/>
          </w:tcPr>
          <w:p w14:paraId="5D2A88D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accelerometer: sleep efficiency variability predicts attention and processing speed in older adults. Directly motivates inclusion of sleep efficiency variability as an NHANES behavioral feature in O1.</w:t>
            </w:r>
            <w:r>
              <w:rPr>
                <w:rFonts w:ascii="Calibri" w:hAnsi="Calibri" w:eastAsia="Calibri" w:cs="Calibri"/>
                <w:b w:val="0"/>
                <w:bCs w:val="0"/>
                <w:color w:val="000000"/>
                <w:sz w:val="18"/>
                <w:szCs w:val="18"/>
              </w:rPr>
            </w:r>
          </w:p>
        </w:tc>
      </w:tr>
      <w:tr>
        <w:trPr/>
        <w:tc>
          <w:tcPr>
            <w:tcBorders/>
            <w:vMerge w:val="restart"/>
          </w:tcPr>
          <w:p w14:paraId="620D408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NeuroCordioAI 2026</w:t>
            </w:r>
            <w:r>
              <w:rPr>
                <w:rFonts w:ascii="Calibri" w:hAnsi="Calibri" w:eastAsia="Calibri" w:cs="Calibri"/>
                <w:b w:val="0"/>
                <w:bCs w:val="0"/>
                <w:color w:val="000000"/>
                <w:sz w:val="18"/>
                <w:szCs w:val="18"/>
              </w:rPr>
            </w:r>
          </w:p>
        </w:tc>
        <w:tc>
          <w:tcPr>
            <w:tcBorders/>
            <w:vMerge w:val="restart"/>
          </w:tcPr>
          <w:p w14:paraId="2DA01FF4">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Zenodo</w:t>
            </w:r>
            <w:r>
              <w:rPr>
                <w:rFonts w:ascii="Calibri" w:hAnsi="Calibri" w:eastAsia="Calibri" w:cs="Calibri"/>
                <w:b w:val="0"/>
                <w:bCs w:val="0"/>
                <w:color w:val="000000"/>
                <w:sz w:val="18"/>
                <w:szCs w:val="18"/>
              </w:rPr>
            </w:r>
          </w:p>
        </w:tc>
        <w:tc>
          <w:tcPr>
            <w:tcBorders/>
            <w:vMerge w:val="restart"/>
          </w:tcPr>
          <w:p w14:paraId="0836618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DOI: 10.5281/zenodo.23292074</w:t>
            </w:r>
            <w:r>
              <w:rPr>
                <w:rFonts w:ascii="Calibri" w:hAnsi="Calibri" w:eastAsia="Calibri" w:cs="Calibri"/>
                <w:b w:val="0"/>
                <w:bCs w:val="0"/>
                <w:color w:val="000000"/>
                <w:sz w:val="18"/>
                <w:szCs w:val="18"/>
              </w:rPr>
            </w:r>
          </w:p>
        </w:tc>
        <w:tc>
          <w:tcPr>
            <w:tcBorders/>
            <w:vMerge w:val="restart"/>
          </w:tcPr>
          <w:p w14:paraId="065A8D47">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EEG cognitive markers fused with cardiac signals for risk stratification; multimodal fusion of EEG with non-EEG physiological signals. Adjacent in modality fusion; differs in application domain (cardiac vs. sleep-cognitive).</w:t>
            </w:r>
            <w:r>
              <w:rPr>
                <w:rFonts w:ascii="Calibri" w:hAnsi="Calibri" w:eastAsia="Calibri" w:cs="Calibri"/>
                <w:b w:val="0"/>
                <w:bCs w:val="0"/>
                <w:color w:val="000000"/>
                <w:sz w:val="18"/>
                <w:szCs w:val="18"/>
              </w:rPr>
            </w:r>
          </w:p>
        </w:tc>
      </w:tr>
    </w:tbl>
    <w:p w14:paraId="6BA3F54A">
      <w:pPr>
        <w:pBdr/>
        <w:spacing/>
        <w:ind/>
        <w:rPr/>
      </w:pPr>
      <w:r/>
    </w:p>
    <w:p w14:paraId="18FB6265">
      <w:pPr>
        <w:pBdr>
          <w:top w:val="single" w:color="bbbbbb" w:sz="6" w:space="0"/>
        </w:pBdr>
        <w:spacing w:after="120" w:before="120"/>
        <w:ind/>
        <w:rPr/>
      </w:pPr>
      <w:r/>
    </w:p>
    <w:p w14:paraId="72490F02">
      <w:pPr>
        <w:pBdr>
          <w:top w:val="single" w:color="17375e" w:sz="8" w:space="0"/>
        </w:pBdr>
        <w:spacing w:after="160" w:before="400"/>
        <w:ind/>
        <w:rPr>
          <w:rFonts w:ascii="Calibri" w:hAnsi="Calibri" w:cs="Calibri"/>
          <w:b/>
          <w:bCs/>
          <w:color w:val="17375e"/>
          <w:sz w:val="32"/>
          <w:szCs w:val="32"/>
        </w:rPr>
      </w:pPr>
      <w:r>
        <w:rPr>
          <w:rFonts w:ascii="Calibri" w:hAnsi="Calibri" w:eastAsia="Calibri" w:cs="Calibri"/>
          <w:b/>
          <w:bCs/>
          <w:color w:val="17375e"/>
          <w:sz w:val="32"/>
          <w:szCs w:val="32"/>
        </w:rPr>
        <w:t xml:space="preserve">4.  Published Baselines Table</w:t>
      </w:r>
      <w:r>
        <w:rPr>
          <w:rFonts w:ascii="Calibri" w:hAnsi="Calibri" w:eastAsia="Calibri" w:cs="Calibri"/>
          <w:b/>
          <w:bCs/>
          <w:color w:val="17375e"/>
          <w:sz w:val="32"/>
          <w:szCs w:val="32"/>
        </w:rPr>
      </w:r>
    </w:p>
    <w:p w14:paraId="73F0F732">
      <w:pPr>
        <w:pBdr/>
        <w:spacing w:after="120" w:line="276" w:lineRule="auto"/>
        <w:ind/>
        <w:jc w:val="both"/>
        <w:rPr>
          <w:rFonts w:ascii="Calibri" w:hAnsi="Calibri" w:cs="Calibri"/>
          <w:sz w:val="22"/>
          <w:szCs w:val="22"/>
        </w:rPr>
      </w:pPr>
      <w:r>
        <w:rPr>
          <w:rFonts w:ascii="Calibri" w:hAnsi="Calibri" w:eastAsia="Calibri" w:cs="Calibri"/>
          <w:sz w:val="22"/>
          <w:szCs w:val="22"/>
        </w:rPr>
        <w:t xml:space="preserve">All numeric values below are sourced directly from the cited papers (abstract or results section). These values seed the external_values.yaml configuration file used as the single source of truth for all benchmark comparisons in Stages 4–7. The proposed pipeline must meet or exceed each applicable baseline on the corresponding dataset and task before a result may be reported as a contribution.</w:t>
      </w:r>
      <w:r>
        <w:rPr>
          <w:rFonts w:ascii="Calibri" w:hAnsi="Calibri" w:eastAsia="Calibri" w:cs="Calibri"/>
          <w:sz w:val="22"/>
          <w:szCs w:val="22"/>
        </w:rPr>
      </w:r>
    </w:p>
    <w:tbl>
      <w:tblPr>
        <w:tblInd w:w="3402" w:type="dxa"/>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2"/>
        <w:gridCol w:w="222"/>
        <w:gridCol w:w="222"/>
        <w:gridCol w:w="222"/>
      </w:tblGrid>
      <w:tr>
        <w:trPr/>
        <w:tc>
          <w:tcPr>
            <w:shd w:val="clear" w:color="17375e" w:fill="17375e"/>
            <w:tcBorders/>
          </w:tcPr>
          <w:p w14:paraId="419C5C80">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Metric</w:t>
            </w:r>
            <w:r>
              <w:rPr>
                <w:rFonts w:ascii="Calibri" w:hAnsi="Calibri" w:eastAsia="Calibri" w:cs="Calibri"/>
                <w:b/>
                <w:bCs/>
                <w:color w:val="ffffff"/>
                <w:sz w:val="18"/>
                <w:szCs w:val="18"/>
              </w:rPr>
            </w:r>
          </w:p>
        </w:tc>
        <w:tc>
          <w:tcPr>
            <w:shd w:val="clear" w:color="17375e" w:fill="17375e"/>
            <w:tcBorders/>
          </w:tcPr>
          <w:p w14:paraId="1B98B6CF">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Dataset / Task</w:t>
            </w:r>
            <w:r>
              <w:rPr>
                <w:rFonts w:ascii="Calibri" w:hAnsi="Calibri" w:eastAsia="Calibri" w:cs="Calibri"/>
                <w:b/>
                <w:bCs/>
                <w:color w:val="ffffff"/>
                <w:sz w:val="18"/>
                <w:szCs w:val="18"/>
              </w:rPr>
            </w:r>
          </w:p>
        </w:tc>
        <w:tc>
          <w:tcPr>
            <w:shd w:val="clear" w:color="17375e" w:fill="17375e"/>
            <w:tcBorders/>
          </w:tcPr>
          <w:p w14:paraId="627CB37B">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Value</w:t>
            </w:r>
            <w:r>
              <w:rPr>
                <w:rFonts w:ascii="Calibri" w:hAnsi="Calibri" w:eastAsia="Calibri" w:cs="Calibri"/>
                <w:b/>
                <w:bCs/>
                <w:color w:val="ffffff"/>
                <w:sz w:val="18"/>
                <w:szCs w:val="18"/>
              </w:rPr>
            </w:r>
          </w:p>
        </w:tc>
        <w:tc>
          <w:tcPr>
            <w:shd w:val="clear" w:color="17375e" w:fill="17375e"/>
            <w:tcBorders/>
          </w:tcPr>
          <w:p w14:paraId="1E4A9F58">
            <w:pPr>
              <w:pBdr/>
              <w:spacing/>
              <w:ind/>
              <w:jc w:val="center"/>
              <w:rPr>
                <w:rFonts w:ascii="Calibri" w:hAnsi="Calibri" w:cs="Calibri"/>
                <w:b/>
                <w:bCs/>
                <w:color w:val="ffffff"/>
                <w:sz w:val="18"/>
                <w:szCs w:val="18"/>
              </w:rPr>
            </w:pPr>
            <w:r>
              <w:rPr>
                <w:rFonts w:ascii="Calibri" w:hAnsi="Calibri" w:eastAsia="Calibri" w:cs="Calibri"/>
                <w:b/>
                <w:bCs/>
                <w:color w:val="ffffff"/>
                <w:sz w:val="18"/>
                <w:szCs w:val="18"/>
              </w:rPr>
            </w:r>
            <w:r>
              <w:rPr>
                <w:rFonts w:ascii="Calibri" w:hAnsi="Calibri" w:eastAsia="Calibri" w:cs="Calibri"/>
                <w:b/>
                <w:bCs/>
                <w:color w:val="ffffff"/>
                <w:sz w:val="18"/>
                <w:szCs w:val="18"/>
              </w:rPr>
              <w:t xml:space="preserve">Source</w:t>
            </w:r>
            <w:r>
              <w:rPr>
                <w:rFonts w:ascii="Calibri" w:hAnsi="Calibri" w:eastAsia="Calibri" w:cs="Calibri"/>
                <w:b/>
                <w:bCs/>
                <w:color w:val="ffffff"/>
                <w:sz w:val="18"/>
                <w:szCs w:val="18"/>
              </w:rPr>
            </w:r>
          </w:p>
        </w:tc>
      </w:tr>
      <w:tr>
        <w:trPr/>
        <w:tc>
          <w:tcPr>
            <w:tcBorders/>
            <w:vMerge w:val="restart"/>
          </w:tcPr>
          <w:p w14:paraId="5DCE8326">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AUC (processing speed &amp; attention)</w:t>
            </w:r>
            <w:r>
              <w:rPr>
                <w:rFonts w:ascii="Calibri" w:hAnsi="Calibri" w:eastAsia="Calibri" w:cs="Calibri"/>
                <w:b w:val="0"/>
                <w:bCs w:val="0"/>
                <w:color w:val="000000"/>
                <w:sz w:val="18"/>
                <w:szCs w:val="18"/>
              </w:rPr>
            </w:r>
          </w:p>
        </w:tc>
        <w:tc>
          <w:tcPr>
            <w:tcBorders/>
            <w:vMerge w:val="restart"/>
          </w:tcPr>
          <w:p w14:paraId="03CC1E7C">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 cognitive test prediction, older adults n&gt;2,400</w:t>
            </w:r>
            <w:r>
              <w:rPr>
                <w:rFonts w:ascii="Calibri" w:hAnsi="Calibri" w:eastAsia="Calibri" w:cs="Calibri"/>
                <w:b w:val="0"/>
                <w:bCs w:val="0"/>
                <w:color w:val="000000"/>
                <w:sz w:val="18"/>
                <w:szCs w:val="18"/>
              </w:rPr>
            </w:r>
          </w:p>
        </w:tc>
        <w:tc>
          <w:tcPr>
            <w:tcBorders/>
            <w:vMerge w:val="restart"/>
          </w:tcPr>
          <w:p w14:paraId="1360299A">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 0.82</w:t>
            </w:r>
            <w:r>
              <w:rPr>
                <w:rFonts w:ascii="Calibri" w:hAnsi="Calibri" w:eastAsia="Calibri" w:cs="Calibri"/>
                <w:b w:val="0"/>
                <w:bCs w:val="0"/>
                <w:color w:val="000000"/>
                <w:sz w:val="18"/>
                <w:szCs w:val="18"/>
              </w:rPr>
            </w:r>
          </w:p>
        </w:tc>
        <w:tc>
          <w:tcPr>
            <w:tcBorders/>
            <w:vMerge w:val="restart"/>
          </w:tcPr>
          <w:p w14:paraId="69506AF3">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Sakal et al. 2024, npj Aging (DOI: 10.1038/s41514-024-00177-x)</w:t>
            </w:r>
            <w:r>
              <w:rPr>
                <w:rFonts w:ascii="Calibri" w:hAnsi="Calibri" w:eastAsia="Calibri" w:cs="Calibri"/>
                <w:b w:val="0"/>
                <w:bCs w:val="0"/>
                <w:color w:val="000000"/>
                <w:sz w:val="18"/>
                <w:szCs w:val="18"/>
              </w:rPr>
            </w:r>
          </w:p>
        </w:tc>
      </w:tr>
      <w:tr>
        <w:trPr/>
        <w:tc>
          <w:tcPr>
            <w:shd w:val="clear" w:color="f2f2f2" w:fill="f2f2f2"/>
            <w:tcBorders/>
            <w:vMerge w:val="restart"/>
          </w:tcPr>
          <w:p w14:paraId="700C27BB">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AUC (recall/memory)</w:t>
            </w:r>
            <w:r>
              <w:rPr>
                <w:rFonts w:ascii="Calibri" w:hAnsi="Calibri" w:eastAsia="Calibri" w:cs="Calibri"/>
                <w:b w:val="0"/>
                <w:bCs w:val="0"/>
                <w:color w:val="000000"/>
                <w:sz w:val="18"/>
                <w:szCs w:val="18"/>
              </w:rPr>
            </w:r>
          </w:p>
        </w:tc>
        <w:tc>
          <w:tcPr>
            <w:shd w:val="clear" w:color="f2f2f2" w:fill="f2f2f2"/>
            <w:tcBorders/>
            <w:vMerge w:val="restart"/>
          </w:tcPr>
          <w:p w14:paraId="51961211">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NHANES — CERAD word-list recall prediction</w:t>
            </w:r>
            <w:r>
              <w:rPr>
                <w:rFonts w:ascii="Calibri" w:hAnsi="Calibri" w:eastAsia="Calibri" w:cs="Calibri"/>
                <w:b w:val="0"/>
                <w:bCs w:val="0"/>
                <w:color w:val="000000"/>
                <w:sz w:val="18"/>
                <w:szCs w:val="18"/>
              </w:rPr>
            </w:r>
          </w:p>
        </w:tc>
        <w:tc>
          <w:tcPr>
            <w:shd w:val="clear" w:color="f2f2f2" w:fill="f2f2f2"/>
            <w:tcBorders/>
            <w:vMerge w:val="restart"/>
          </w:tcPr>
          <w:p w14:paraId="2E90E91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~0.72</w:t>
            </w:r>
            <w:r>
              <w:rPr>
                <w:rFonts w:ascii="Calibri" w:hAnsi="Calibri" w:eastAsia="Calibri" w:cs="Calibri"/>
                <w:b w:val="0"/>
                <w:bCs w:val="0"/>
                <w:color w:val="000000"/>
                <w:sz w:val="18"/>
                <w:szCs w:val="18"/>
              </w:rPr>
            </w:r>
          </w:p>
        </w:tc>
        <w:tc>
          <w:tcPr>
            <w:shd w:val="clear" w:color="f2f2f2" w:fill="f2f2f2"/>
            <w:tcBorders/>
            <w:vMerge w:val="restart"/>
          </w:tcPr>
          <w:p w14:paraId="6068E53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Sakal et al. 2024, npj Aging (DOI: 10.1038/s41514-024-00177-x)</w:t>
            </w:r>
            <w:r>
              <w:rPr>
                <w:rFonts w:ascii="Calibri" w:hAnsi="Calibri" w:eastAsia="Calibri" w:cs="Calibri"/>
                <w:b w:val="0"/>
                <w:bCs w:val="0"/>
                <w:color w:val="000000"/>
                <w:sz w:val="18"/>
                <w:szCs w:val="18"/>
              </w:rPr>
            </w:r>
          </w:p>
        </w:tc>
      </w:tr>
      <w:tr>
        <w:trPr/>
        <w:tc>
          <w:tcPr>
            <w:tcBorders/>
            <w:vMerge w:val="restart"/>
          </w:tcPr>
          <w:p w14:paraId="4A9D9B8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Accuracy (5-class sleep staging)</w:t>
            </w:r>
            <w:r>
              <w:rPr>
                <w:rFonts w:ascii="Calibri" w:hAnsi="Calibri" w:eastAsia="Calibri" w:cs="Calibri"/>
                <w:b w:val="0"/>
                <w:bCs w:val="0"/>
                <w:color w:val="000000"/>
                <w:sz w:val="18"/>
                <w:szCs w:val="18"/>
              </w:rPr>
            </w:r>
          </w:p>
        </w:tc>
        <w:tc>
          <w:tcPr>
            <w:tcBorders/>
            <w:vMerge w:val="restart"/>
          </w:tcPr>
          <w:p w14:paraId="229C340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Sleep-EDF Expanded — end-to-end CNN+LSTM</w:t>
            </w:r>
            <w:r>
              <w:rPr>
                <w:rFonts w:ascii="Calibri" w:hAnsi="Calibri" w:eastAsia="Calibri" w:cs="Calibri"/>
                <w:b w:val="0"/>
                <w:bCs w:val="0"/>
                <w:color w:val="000000"/>
                <w:sz w:val="18"/>
                <w:szCs w:val="18"/>
              </w:rPr>
            </w:r>
          </w:p>
        </w:tc>
        <w:tc>
          <w:tcPr>
            <w:tcBorders/>
            <w:vMerge w:val="restart"/>
          </w:tcPr>
          <w:p w14:paraId="04AAB2B8">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96.57%</w:t>
            </w:r>
            <w:r>
              <w:rPr>
                <w:rFonts w:ascii="Calibri" w:hAnsi="Calibri" w:eastAsia="Calibri" w:cs="Calibri"/>
                <w:b w:val="0"/>
                <w:bCs w:val="0"/>
                <w:color w:val="000000"/>
                <w:sz w:val="18"/>
                <w:szCs w:val="18"/>
              </w:rPr>
            </w:r>
          </w:p>
        </w:tc>
        <w:tc>
          <w:tcPr>
            <w:tcBorders/>
            <w:vMerge w:val="restart"/>
          </w:tcPr>
          <w:p w14:paraId="2962401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Almutairi et al. 2023, SSNet (scispace.com papers/24n8tj35)</w:t>
            </w:r>
            <w:r>
              <w:rPr>
                <w:rFonts w:ascii="Calibri" w:hAnsi="Calibri" w:eastAsia="Calibri" w:cs="Calibri"/>
                <w:b w:val="0"/>
                <w:bCs w:val="0"/>
                <w:color w:val="000000"/>
                <w:sz w:val="18"/>
                <w:szCs w:val="18"/>
              </w:rPr>
            </w:r>
          </w:p>
        </w:tc>
      </w:tr>
      <w:tr>
        <w:trPr/>
        <w:tc>
          <w:tcPr>
            <w:shd w:val="clear" w:color="f2f2f2" w:fill="f2f2f2"/>
            <w:tcBorders/>
            <w:vMerge w:val="restart"/>
          </w:tcPr>
          <w:p w14:paraId="2A7ED88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Cohen’s κ (5-class sleep staging)</w:t>
            </w:r>
            <w:r>
              <w:rPr>
                <w:rFonts w:ascii="Calibri" w:hAnsi="Calibri" w:eastAsia="Calibri" w:cs="Calibri"/>
                <w:b w:val="0"/>
                <w:bCs w:val="0"/>
                <w:color w:val="000000"/>
                <w:sz w:val="18"/>
                <w:szCs w:val="18"/>
              </w:rPr>
            </w:r>
          </w:p>
        </w:tc>
        <w:tc>
          <w:tcPr>
            <w:shd w:val="clear" w:color="f2f2f2" w:fill="f2f2f2"/>
            <w:tcBorders/>
            <w:vMerge w:val="restart"/>
          </w:tcPr>
          <w:p w14:paraId="2996DC5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Sleep-EDF Expanded — end-to-end CNN+LSTM</w:t>
            </w:r>
            <w:r>
              <w:rPr>
                <w:rFonts w:ascii="Calibri" w:hAnsi="Calibri" w:eastAsia="Calibri" w:cs="Calibri"/>
                <w:b w:val="0"/>
                <w:bCs w:val="0"/>
                <w:color w:val="000000"/>
                <w:sz w:val="18"/>
                <w:szCs w:val="18"/>
              </w:rPr>
            </w:r>
          </w:p>
        </w:tc>
        <w:tc>
          <w:tcPr>
            <w:shd w:val="clear" w:color="f2f2f2" w:fill="f2f2f2"/>
            <w:tcBorders/>
            <w:vMerge w:val="restart"/>
          </w:tcPr>
          <w:p w14:paraId="27E3EB48">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0.8305</w:t>
            </w:r>
            <w:r>
              <w:rPr>
                <w:rFonts w:ascii="Calibri" w:hAnsi="Calibri" w:eastAsia="Calibri" w:cs="Calibri"/>
                <w:b w:val="0"/>
                <w:bCs w:val="0"/>
                <w:color w:val="000000"/>
                <w:sz w:val="18"/>
                <w:szCs w:val="18"/>
              </w:rPr>
            </w:r>
          </w:p>
        </w:tc>
        <w:tc>
          <w:tcPr>
            <w:shd w:val="clear" w:color="f2f2f2" w:fill="f2f2f2"/>
            <w:tcBorders/>
            <w:vMerge w:val="restart"/>
          </w:tcPr>
          <w:p w14:paraId="2A6CD848">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Almutairi et al. 2023, SSNet (scispace.com papers/24n8tj35)</w:t>
            </w:r>
            <w:r>
              <w:rPr>
                <w:rFonts w:ascii="Calibri" w:hAnsi="Calibri" w:eastAsia="Calibri" w:cs="Calibri"/>
                <w:b w:val="0"/>
                <w:bCs w:val="0"/>
                <w:color w:val="000000"/>
                <w:sz w:val="18"/>
                <w:szCs w:val="18"/>
              </w:rPr>
            </w:r>
          </w:p>
        </w:tc>
      </w:tr>
      <w:tr>
        <w:trPr/>
        <w:tc>
          <w:tcPr>
            <w:tcBorders/>
            <w:vMerge w:val="restart"/>
          </w:tcPr>
          <w:p w14:paraId="0430139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Accuracy (sleep staging, multimodal Transformer)</w:t>
            </w:r>
            <w:r>
              <w:rPr>
                <w:rFonts w:ascii="Calibri" w:hAnsi="Calibri" w:eastAsia="Calibri" w:cs="Calibri"/>
                <w:b w:val="0"/>
                <w:bCs w:val="0"/>
                <w:color w:val="000000"/>
                <w:sz w:val="18"/>
                <w:szCs w:val="18"/>
              </w:rPr>
            </w:r>
          </w:p>
        </w:tc>
        <w:tc>
          <w:tcPr>
            <w:tcBorders/>
            <w:vMerge w:val="restart"/>
          </w:tcPr>
          <w:p w14:paraId="2A48E2DB">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Sleep-EDF — hierarchical Transformer (NeuroLingua)</w:t>
            </w:r>
            <w:r>
              <w:rPr>
                <w:rFonts w:ascii="Calibri" w:hAnsi="Calibri" w:eastAsia="Calibri" w:cs="Calibri"/>
                <w:b w:val="0"/>
                <w:bCs w:val="0"/>
                <w:color w:val="000000"/>
                <w:sz w:val="18"/>
                <w:szCs w:val="18"/>
              </w:rPr>
            </w:r>
          </w:p>
        </w:tc>
        <w:tc>
          <w:tcPr>
            <w:tcBorders/>
            <w:vMerge w:val="restart"/>
          </w:tcPr>
          <w:p w14:paraId="41A7DFDF">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85.3%</w:t>
            </w:r>
            <w:r>
              <w:rPr>
                <w:rFonts w:ascii="Calibri" w:hAnsi="Calibri" w:eastAsia="Calibri" w:cs="Calibri"/>
                <w:b w:val="0"/>
                <w:bCs w:val="0"/>
                <w:color w:val="000000"/>
                <w:sz w:val="18"/>
                <w:szCs w:val="18"/>
              </w:rPr>
            </w:r>
          </w:p>
        </w:tc>
        <w:tc>
          <w:tcPr>
            <w:tcBorders/>
            <w:vMerge w:val="restart"/>
          </w:tcPr>
          <w:p w14:paraId="2CEBFD8E">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Samaee et al. 2025, arXiv 2511.09773</w:t>
            </w:r>
            <w:r>
              <w:rPr>
                <w:rFonts w:ascii="Calibri" w:hAnsi="Calibri" w:eastAsia="Calibri" w:cs="Calibri"/>
                <w:b w:val="0"/>
                <w:bCs w:val="0"/>
                <w:color w:val="000000"/>
                <w:sz w:val="18"/>
                <w:szCs w:val="18"/>
              </w:rPr>
            </w:r>
          </w:p>
        </w:tc>
      </w:tr>
      <w:tr>
        <w:trPr/>
        <w:tc>
          <w:tcPr>
            <w:shd w:val="clear" w:color="f2f2f2" w:fill="f2f2f2"/>
            <w:tcBorders/>
            <w:vMerge w:val="restart"/>
          </w:tcPr>
          <w:p w14:paraId="29C9EA9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F1 (sleep staging, multimodal Transformer)</w:t>
            </w:r>
            <w:r>
              <w:rPr>
                <w:rFonts w:ascii="Calibri" w:hAnsi="Calibri" w:eastAsia="Calibri" w:cs="Calibri"/>
                <w:b w:val="0"/>
                <w:bCs w:val="0"/>
                <w:color w:val="000000"/>
                <w:sz w:val="18"/>
                <w:szCs w:val="18"/>
              </w:rPr>
            </w:r>
          </w:p>
        </w:tc>
        <w:tc>
          <w:tcPr>
            <w:shd w:val="clear" w:color="f2f2f2" w:fill="f2f2f2"/>
            <w:tcBorders/>
            <w:vMerge w:val="restart"/>
          </w:tcPr>
          <w:p w14:paraId="7DFC0C4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Sleep-EDF — hierarchical Transformer (NeuroLingua)</w:t>
            </w:r>
            <w:r>
              <w:rPr>
                <w:rFonts w:ascii="Calibri" w:hAnsi="Calibri" w:eastAsia="Calibri" w:cs="Calibri"/>
                <w:b w:val="0"/>
                <w:bCs w:val="0"/>
                <w:color w:val="000000"/>
                <w:sz w:val="18"/>
                <w:szCs w:val="18"/>
              </w:rPr>
            </w:r>
          </w:p>
        </w:tc>
        <w:tc>
          <w:tcPr>
            <w:shd w:val="clear" w:color="f2f2f2" w:fill="f2f2f2"/>
            <w:tcBorders/>
            <w:vMerge w:val="restart"/>
          </w:tcPr>
          <w:p w14:paraId="0D2F9DB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0.800</w:t>
            </w:r>
            <w:r>
              <w:rPr>
                <w:rFonts w:ascii="Calibri" w:hAnsi="Calibri" w:eastAsia="Calibri" w:cs="Calibri"/>
                <w:b w:val="0"/>
                <w:bCs w:val="0"/>
                <w:color w:val="000000"/>
                <w:sz w:val="18"/>
                <w:szCs w:val="18"/>
              </w:rPr>
            </w:r>
          </w:p>
        </w:tc>
        <w:tc>
          <w:tcPr>
            <w:shd w:val="clear" w:color="f2f2f2" w:fill="f2f2f2"/>
            <w:tcBorders/>
            <w:vMerge w:val="restart"/>
          </w:tcPr>
          <w:p w14:paraId="43FFD566">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Samaee et al. 2025, arXiv 2511.09773</w:t>
            </w:r>
            <w:r>
              <w:rPr>
                <w:rFonts w:ascii="Calibri" w:hAnsi="Calibri" w:eastAsia="Calibri" w:cs="Calibri"/>
                <w:b w:val="0"/>
                <w:bCs w:val="0"/>
                <w:color w:val="000000"/>
                <w:sz w:val="18"/>
                <w:szCs w:val="18"/>
              </w:rPr>
            </w:r>
          </w:p>
        </w:tc>
      </w:tr>
      <w:tr>
        <w:trPr/>
        <w:tc>
          <w:tcPr>
            <w:tcBorders/>
            <w:vMerge w:val="restart"/>
          </w:tcPr>
          <w:p w14:paraId="143A00C7">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Cohen’s κ (sleep staging, multimodal Transformer)</w:t>
            </w:r>
            <w:r>
              <w:rPr>
                <w:rFonts w:ascii="Calibri" w:hAnsi="Calibri" w:eastAsia="Calibri" w:cs="Calibri"/>
                <w:b w:val="0"/>
                <w:bCs w:val="0"/>
                <w:color w:val="000000"/>
                <w:sz w:val="18"/>
                <w:szCs w:val="18"/>
              </w:rPr>
            </w:r>
          </w:p>
        </w:tc>
        <w:tc>
          <w:tcPr>
            <w:tcBorders/>
            <w:vMerge w:val="restart"/>
          </w:tcPr>
          <w:p w14:paraId="62895A5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Sleep-EDF — hierarchical Transformer (NeuroLingua)</w:t>
            </w:r>
            <w:r>
              <w:rPr>
                <w:rFonts w:ascii="Calibri" w:hAnsi="Calibri" w:eastAsia="Calibri" w:cs="Calibri"/>
                <w:b w:val="0"/>
                <w:bCs w:val="0"/>
                <w:color w:val="000000"/>
                <w:sz w:val="18"/>
                <w:szCs w:val="18"/>
              </w:rPr>
            </w:r>
          </w:p>
        </w:tc>
        <w:tc>
          <w:tcPr>
            <w:tcBorders/>
            <w:vMerge w:val="restart"/>
          </w:tcPr>
          <w:p w14:paraId="1269F7C9">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0.796</w:t>
            </w:r>
            <w:r>
              <w:rPr>
                <w:rFonts w:ascii="Calibri" w:hAnsi="Calibri" w:eastAsia="Calibri" w:cs="Calibri"/>
                <w:b w:val="0"/>
                <w:bCs w:val="0"/>
                <w:color w:val="000000"/>
                <w:sz w:val="18"/>
                <w:szCs w:val="18"/>
              </w:rPr>
            </w:r>
          </w:p>
        </w:tc>
        <w:tc>
          <w:tcPr>
            <w:tcBorders/>
            <w:vMerge w:val="restart"/>
          </w:tcPr>
          <w:p w14:paraId="7547F80B">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Samaee et al. 2025, arXiv 2511.09773</w:t>
            </w:r>
            <w:r>
              <w:rPr>
                <w:rFonts w:ascii="Calibri" w:hAnsi="Calibri" w:eastAsia="Calibri" w:cs="Calibri"/>
                <w:b w:val="0"/>
                <w:bCs w:val="0"/>
                <w:color w:val="000000"/>
                <w:sz w:val="18"/>
                <w:szCs w:val="18"/>
              </w:rPr>
            </w:r>
          </w:p>
        </w:tc>
      </w:tr>
      <w:tr>
        <w:trPr/>
        <w:tc>
          <w:tcPr>
            <w:shd w:val="clear" w:color="f2f2f2" w:fill="f2f2f2"/>
            <w:tcBorders/>
            <w:vMerge w:val="restart"/>
          </w:tcPr>
          <w:p w14:paraId="0852572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Pearson corr: EEG–present cognitive performance</w:t>
            </w:r>
            <w:r>
              <w:rPr>
                <w:rFonts w:ascii="Calibri" w:hAnsi="Calibri" w:eastAsia="Calibri" w:cs="Calibri"/>
                <w:b w:val="0"/>
                <w:bCs w:val="0"/>
                <w:color w:val="000000"/>
                <w:sz w:val="18"/>
                <w:szCs w:val="18"/>
              </w:rPr>
            </w:r>
          </w:p>
        </w:tc>
        <w:tc>
          <w:tcPr>
            <w:shd w:val="clear" w:color="f2f2f2" w:fill="f2f2f2"/>
            <w:tcBorders/>
            <w:vMerge w:val="restart"/>
          </w:tcPr>
          <w:p w14:paraId="2114E810">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EEG sustained attention task, n=50</w:t>
            </w:r>
            <w:r>
              <w:rPr>
                <w:rFonts w:ascii="Calibri" w:hAnsi="Calibri" w:eastAsia="Calibri" w:cs="Calibri"/>
                <w:b w:val="0"/>
                <w:bCs w:val="0"/>
                <w:color w:val="000000"/>
                <w:sz w:val="18"/>
                <w:szCs w:val="18"/>
              </w:rPr>
            </w:r>
          </w:p>
        </w:tc>
        <w:tc>
          <w:tcPr>
            <w:shd w:val="clear" w:color="f2f2f2" w:fill="f2f2f2"/>
            <w:tcBorders/>
            <w:vMerge w:val="restart"/>
          </w:tcPr>
          <w:p w14:paraId="281F8C02">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0.89</w:t>
            </w:r>
            <w:r>
              <w:rPr>
                <w:rFonts w:ascii="Calibri" w:hAnsi="Calibri" w:eastAsia="Calibri" w:cs="Calibri"/>
                <w:b w:val="0"/>
                <w:bCs w:val="0"/>
                <w:color w:val="000000"/>
                <w:sz w:val="18"/>
                <w:szCs w:val="18"/>
              </w:rPr>
            </w:r>
          </w:p>
        </w:tc>
        <w:tc>
          <w:tcPr>
            <w:shd w:val="clear" w:color="f2f2f2" w:fill="f2f2f2"/>
            <w:tcBorders/>
            <w:vMerge w:val="restart"/>
          </w:tcPr>
          <w:p w14:paraId="5FEF41A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Stikic et al. 2011, Frontiers Human Neuroscience (DOI: 10.3389/FNHUM.2011.00070)</w:t>
            </w:r>
            <w:r>
              <w:rPr>
                <w:rFonts w:ascii="Calibri" w:hAnsi="Calibri" w:eastAsia="Calibri" w:cs="Calibri"/>
                <w:b w:val="0"/>
                <w:bCs w:val="0"/>
                <w:color w:val="000000"/>
                <w:sz w:val="18"/>
                <w:szCs w:val="18"/>
              </w:rPr>
            </w:r>
          </w:p>
        </w:tc>
      </w:tr>
      <w:tr>
        <w:trPr/>
        <w:tc>
          <w:tcPr>
            <w:tcBorders/>
            <w:vMerge w:val="restart"/>
          </w:tcPr>
          <w:p w14:paraId="3C8556F3">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Pearson corr: EEG–future cognitive performance</w:t>
            </w:r>
            <w:r>
              <w:rPr>
                <w:rFonts w:ascii="Calibri" w:hAnsi="Calibri" w:eastAsia="Calibri" w:cs="Calibri"/>
                <w:b w:val="0"/>
                <w:bCs w:val="0"/>
                <w:color w:val="000000"/>
                <w:sz w:val="18"/>
                <w:szCs w:val="18"/>
              </w:rPr>
            </w:r>
          </w:p>
        </w:tc>
        <w:tc>
          <w:tcPr>
            <w:tcBorders/>
            <w:vMerge w:val="restart"/>
          </w:tcPr>
          <w:p w14:paraId="76F8BE7A">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EEG sustained attention task, n=50</w:t>
            </w:r>
            <w:r>
              <w:rPr>
                <w:rFonts w:ascii="Calibri" w:hAnsi="Calibri" w:eastAsia="Calibri" w:cs="Calibri"/>
                <w:b w:val="0"/>
                <w:bCs w:val="0"/>
                <w:color w:val="000000"/>
                <w:sz w:val="18"/>
                <w:szCs w:val="18"/>
              </w:rPr>
            </w:r>
          </w:p>
        </w:tc>
        <w:tc>
          <w:tcPr>
            <w:tcBorders/>
            <w:vMerge w:val="restart"/>
          </w:tcPr>
          <w:p w14:paraId="3FAEECEB">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0.79</w:t>
            </w:r>
            <w:r>
              <w:rPr>
                <w:rFonts w:ascii="Calibri" w:hAnsi="Calibri" w:eastAsia="Calibri" w:cs="Calibri"/>
                <w:b w:val="0"/>
                <w:bCs w:val="0"/>
                <w:color w:val="000000"/>
                <w:sz w:val="18"/>
                <w:szCs w:val="18"/>
              </w:rPr>
            </w:r>
          </w:p>
        </w:tc>
        <w:tc>
          <w:tcPr>
            <w:tcBorders/>
            <w:vMerge w:val="restart"/>
          </w:tcPr>
          <w:p w14:paraId="216DBBD0">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Stikic et al. 2011, Frontiers Human Neuroscience (DOI: 10.3389/FNHUM.2011.00070)</w:t>
            </w:r>
            <w:r>
              <w:rPr>
                <w:rFonts w:ascii="Calibri" w:hAnsi="Calibri" w:eastAsia="Calibri" w:cs="Calibri"/>
                <w:b w:val="0"/>
                <w:bCs w:val="0"/>
                <w:color w:val="000000"/>
                <w:sz w:val="18"/>
                <w:szCs w:val="18"/>
              </w:rPr>
            </w:r>
          </w:p>
        </w:tc>
      </w:tr>
      <w:tr>
        <w:trPr/>
        <w:tc>
          <w:tcPr>
            <w:shd w:val="clear" w:color="f2f2f2" w:fill="f2f2f2"/>
            <w:tcBorders/>
            <w:vMerge w:val="restart"/>
          </w:tcPr>
          <w:p w14:paraId="7F25440D">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Accuracy (sleep staging, CNN–LSTM)</w:t>
            </w:r>
            <w:r>
              <w:rPr>
                <w:rFonts w:ascii="Calibri" w:hAnsi="Calibri" w:eastAsia="Calibri" w:cs="Calibri"/>
                <w:b w:val="0"/>
                <w:bCs w:val="0"/>
                <w:color w:val="000000"/>
                <w:sz w:val="18"/>
                <w:szCs w:val="18"/>
              </w:rPr>
            </w:r>
          </w:p>
        </w:tc>
        <w:tc>
          <w:tcPr>
            <w:shd w:val="clear" w:color="f2f2f2" w:fill="f2f2f2"/>
            <w:tcBorders/>
            <w:vMerge w:val="restart"/>
          </w:tcPr>
          <w:p w14:paraId="4E099955">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Sleep-EDF — automated sleep stage classification</w:t>
            </w:r>
            <w:r>
              <w:rPr>
                <w:rFonts w:ascii="Calibri" w:hAnsi="Calibri" w:eastAsia="Calibri" w:cs="Calibri"/>
                <w:b w:val="0"/>
                <w:bCs w:val="0"/>
                <w:color w:val="000000"/>
                <w:sz w:val="18"/>
                <w:szCs w:val="18"/>
              </w:rPr>
            </w:r>
          </w:p>
        </w:tc>
        <w:tc>
          <w:tcPr>
            <w:shd w:val="clear" w:color="f2f2f2" w:fill="f2f2f2"/>
            <w:tcBorders/>
            <w:vMerge w:val="restart"/>
          </w:tcPr>
          <w:p w14:paraId="3240E506">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89.2%</w:t>
            </w:r>
            <w:r>
              <w:rPr>
                <w:rFonts w:ascii="Calibri" w:hAnsi="Calibri" w:eastAsia="Calibri" w:cs="Calibri"/>
                <w:b w:val="0"/>
                <w:bCs w:val="0"/>
                <w:color w:val="000000"/>
                <w:sz w:val="18"/>
                <w:szCs w:val="18"/>
              </w:rPr>
            </w:r>
          </w:p>
        </w:tc>
        <w:tc>
          <w:tcPr>
            <w:shd w:val="clear" w:color="f2f2f2" w:fill="f2f2f2"/>
            <w:tcBorders/>
            <w:vMerge w:val="restart"/>
          </w:tcPr>
          <w:p w14:paraId="777CF916">
            <w:pPr>
              <w:pBdr/>
              <w:spacing/>
              <w:ind/>
              <w:jc w:val="left"/>
              <w:rPr>
                <w:rFonts w:ascii="Calibri" w:hAnsi="Calibri" w:cs="Calibri"/>
                <w:b w:val="0"/>
                <w:bCs w:val="0"/>
                <w:color w:val="000000"/>
                <w:sz w:val="18"/>
                <w:szCs w:val="18"/>
              </w:rPr>
            </w:pPr>
            <w:r>
              <w:rPr>
                <w:rFonts w:ascii="Calibri" w:hAnsi="Calibri" w:eastAsia="Calibri" w:cs="Calibri"/>
                <w:b w:val="0"/>
                <w:bCs w:val="0"/>
                <w:color w:val="000000"/>
                <w:sz w:val="18"/>
                <w:szCs w:val="18"/>
              </w:rPr>
            </w:r>
            <w:r>
              <w:rPr>
                <w:rFonts w:ascii="Calibri" w:hAnsi="Calibri" w:eastAsia="Calibri" w:cs="Calibri"/>
                <w:b w:val="0"/>
                <w:bCs w:val="0"/>
                <w:color w:val="000000"/>
                <w:sz w:val="18"/>
                <w:szCs w:val="18"/>
              </w:rPr>
              <w:t xml:space="preserve">Sidhu et al. 2025, IEEE ICEC2NT (DOI: 10.1109/icec2nt65402.2025.11379999)</w:t>
            </w:r>
            <w:r>
              <w:rPr>
                <w:rFonts w:ascii="Calibri" w:hAnsi="Calibri" w:eastAsia="Calibri" w:cs="Calibri"/>
                <w:b w:val="0"/>
                <w:bCs w:val="0"/>
                <w:color w:val="000000"/>
                <w:sz w:val="18"/>
                <w:szCs w:val="18"/>
              </w:rPr>
            </w:r>
          </w:p>
        </w:tc>
      </w:tr>
    </w:tbl>
    <w:p w14:paraId="490EA766">
      <w:pPr>
        <w:pBdr/>
        <w:spacing/>
        <w:ind/>
        <w:rPr/>
      </w:pPr>
      <w:r/>
    </w:p>
    <w:p w14:paraId="2671270C">
      <w:pPr>
        <w:pBdr>
          <w:top w:val="single" w:color="bbbbbb" w:sz="6" w:space="0"/>
        </w:pBdr>
        <w:spacing w:after="120" w:before="120"/>
        <w:ind/>
        <w:rPr/>
      </w:pPr>
      <w:r/>
    </w:p>
    <w:p w14:paraId="3DCAC7A5">
      <w:pPr>
        <w:pBdr>
          <w:top w:val="single" w:color="17375e" w:sz="8" w:space="0"/>
        </w:pBdr>
        <w:spacing w:after="160" w:before="400"/>
        <w:ind/>
        <w:rPr>
          <w:rFonts w:ascii="Calibri" w:hAnsi="Calibri" w:cs="Calibri"/>
          <w:b/>
          <w:bCs/>
          <w:color w:val="17375e"/>
          <w:sz w:val="32"/>
          <w:szCs w:val="32"/>
        </w:rPr>
      </w:pPr>
      <w:r>
        <w:rPr>
          <w:rFonts w:ascii="Calibri" w:hAnsi="Calibri" w:eastAsia="Calibri" w:cs="Calibri"/>
          <w:b/>
          <w:bCs/>
          <w:color w:val="17375e"/>
          <w:sz w:val="32"/>
          <w:szCs w:val="32"/>
        </w:rPr>
        <w:t xml:space="preserve">5.  Concurrent Work Flags</w:t>
      </w:r>
      <w:r>
        <w:rPr>
          <w:rFonts w:ascii="Calibri" w:hAnsi="Calibri" w:eastAsia="Calibri" w:cs="Calibri"/>
          <w:b/>
          <w:bCs/>
          <w:color w:val="17375e"/>
          <w:sz w:val="32"/>
          <w:szCs w:val="32"/>
        </w:rPr>
      </w:r>
    </w:p>
    <w:p w14:paraId="54EAE19E">
      <w:pPr>
        <w:pBdr/>
        <w:spacing w:after="120" w:line="276" w:lineRule="auto"/>
        <w:ind/>
        <w:jc w:val="both"/>
        <w:rPr>
          <w:rFonts w:ascii="Calibri" w:hAnsi="Calibri" w:cs="Calibri"/>
          <w:sz w:val="22"/>
          <w:szCs w:val="22"/>
        </w:rPr>
      </w:pPr>
      <w:r>
        <w:rPr>
          <w:rFonts w:ascii="Calibri" w:hAnsi="Calibri" w:eastAsia="Calibri" w:cs="Calibri"/>
          <w:sz w:val="22"/>
          <w:szCs w:val="22"/>
        </w:rPr>
        <w:t xml:space="preserve">Two independent web searches were conducted on 27 October 2026 using targeted queries for “LSTM LLM NHANES EEG sleep deprivation cognitive decline 2025 2026” and “Large Language Model NHANES sleep EEG biomarker cognitive prediction preprint 2026.” Both searches returned zero direct concurrent competitors: no preprint, paper, or repository was identified that fuses NHANES behavioral sleep surveillance, Sleep-EDF EEG staging, and an LSTM–LLM hybrid pipeline for cognitive decline prediction.</w:t>
      </w:r>
      <w:r>
        <w:rPr>
          <w:rFonts w:ascii="Calibri" w:hAnsi="Calibri" w:eastAsia="Calibri" w:cs="Calibri"/>
          <w:sz w:val="22"/>
          <w:szCs w:val="22"/>
        </w:rPr>
      </w:r>
    </w:p>
    <w:p w14:paraId="2AC85587">
      <w:pPr>
        <w:pBdr/>
        <w:spacing w:after="120" w:line="276" w:lineRule="auto"/>
        <w:ind/>
        <w:jc w:val="both"/>
        <w:rPr>
          <w:rFonts w:ascii="Calibri" w:hAnsi="Calibri" w:cs="Calibri"/>
          <w:sz w:val="22"/>
          <w:szCs w:val="22"/>
        </w:rPr>
      </w:pPr>
      <w:r>
        <w:rPr>
          <w:rFonts w:ascii="Calibri" w:hAnsi="Calibri" w:eastAsia="Calibri" w:cs="Calibri"/>
          <w:sz w:val="22"/>
          <w:szCs w:val="22"/>
        </w:rPr>
        <w:t xml:space="preserve">The nearest time-adjacent work is Samaee et al. (arXiv 2511.09773, November 2025), which applies a hierarchical Transformer to Sleep-EDF sleep staging without NHANES integration or cognitive-decline prediction. No concurrent pipeline combining all three proposed components (NHANES + Sleep-EDF + LSTM–LLM) was found as of the search date.</w:t>
      </w:r>
      <w:r>
        <w:rPr>
          <w:rFonts w:ascii="Calibri" w:hAnsi="Calibri" w:eastAsia="Calibri" w:cs="Calibri"/>
          <w:sz w:val="22"/>
          <w:szCs w:val="22"/>
        </w:rPr>
      </w:r>
    </w:p>
    <w:p w14:paraId="0DB10AE7">
      <w:pPr>
        <w:pBdr/>
        <w:spacing w:after="120" w:line="276" w:lineRule="auto"/>
        <w:ind/>
        <w:jc w:val="both"/>
        <w:rPr>
          <w:rFonts w:ascii="Calibri" w:hAnsi="Calibri" w:cs="Calibri"/>
          <w:bCs/>
          <w:i/>
          <w:sz w:val="22"/>
          <w:szCs w:val="22"/>
        </w:rPr>
      </w:pPr>
      <w:r>
        <w:rPr>
          <w:rFonts w:ascii="Calibri" w:hAnsi="Calibri" w:eastAsia="Calibri" w:cs="Calibri"/>
          <w:i/>
          <w:iCs/>
          <w:sz w:val="22"/>
          <w:szCs w:val="22"/>
        </w:rPr>
        <w:t xml:space="preserve">Recommendation: re-run concurrent-work searches at Stage 4 (protocol lock) and again at Stage 8 (manuscript finalisation) to ensure the gap has not closed in the interim.</w:t>
      </w:r>
      <w:r>
        <w:rPr>
          <w:rFonts w:ascii="Calibri" w:hAnsi="Calibri" w:eastAsia="Calibri" w:cs="Calibri"/>
          <w:i/>
          <w:iCs/>
          <w:sz w:val="22"/>
          <w:szCs w:val="22"/>
        </w:rPr>
      </w:r>
    </w:p>
    <w:p w14:paraId="6B775498">
      <w:pPr>
        <w:pBdr>
          <w:top w:val="single" w:color="bbbbbb" w:sz="6" w:space="0"/>
        </w:pBdr>
        <w:spacing w:after="120" w:before="120"/>
        <w:ind/>
        <w:rPr/>
      </w:pPr>
      <w:r/>
    </w:p>
    <w:p w14:paraId="27609783">
      <w:pPr>
        <w:pBdr>
          <w:top w:val="single" w:color="17375e" w:sz="8" w:space="0"/>
        </w:pBdr>
        <w:spacing w:after="160" w:before="400"/>
        <w:ind/>
        <w:rPr>
          <w:rFonts w:ascii="Calibri" w:hAnsi="Calibri" w:cs="Calibri"/>
          <w:b/>
          <w:bCs/>
          <w:color w:val="17375e"/>
          <w:sz w:val="32"/>
          <w:szCs w:val="32"/>
        </w:rPr>
      </w:pPr>
      <w:r>
        <w:rPr>
          <w:rFonts w:ascii="Calibri" w:hAnsi="Calibri" w:eastAsia="Calibri" w:cs="Calibri"/>
          <w:b/>
          <w:bCs/>
          <w:color w:val="17375e"/>
          <w:sz w:val="32"/>
          <w:szCs w:val="32"/>
        </w:rPr>
        <w:t xml:space="preserve">6.  Novelty Classification</w:t>
      </w:r>
      <w:r>
        <w:rPr>
          <w:rFonts w:ascii="Calibri" w:hAnsi="Calibri" w:eastAsia="Calibri" w:cs="Calibri"/>
          <w:b/>
          <w:bCs/>
          <w:color w:val="17375e"/>
          <w:sz w:val="32"/>
          <w:szCs w:val="32"/>
        </w:rPr>
      </w:r>
    </w:p>
    <w:p w14:paraId="66AF1B55">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6.1  Classification: NEW</w:t>
      </w:r>
      <w:r>
        <w:rPr>
          <w:rFonts w:ascii="Calibri" w:hAnsi="Calibri" w:eastAsia="Calibri" w:cs="Calibri"/>
          <w:b/>
          <w:bCs/>
          <w:color w:val="264f78"/>
          <w:sz w:val="26"/>
          <w:szCs w:val="26"/>
        </w:rPr>
      </w:r>
    </w:p>
    <w:p w14:paraId="1C4AC9BB">
      <w:pPr>
        <w:pBdr/>
        <w:spacing w:after="120" w:line="276" w:lineRule="auto"/>
        <w:ind/>
        <w:jc w:val="both"/>
        <w:rPr>
          <w:rFonts w:ascii="Calibri" w:hAnsi="Calibri" w:cs="Calibri"/>
          <w:sz w:val="22"/>
          <w:szCs w:val="22"/>
        </w:rPr>
      </w:pPr>
      <w:r>
        <w:rPr>
          <w:rFonts w:ascii="Calibri" w:hAnsi="Calibri" w:eastAsia="Calibri" w:cs="Calibri"/>
          <w:sz w:val="22"/>
          <w:szCs w:val="22"/>
        </w:rPr>
        <w:t xml:space="preserve">Based on the five literature searches (1,082 papers across SciSpace, PubMed, Google Scholar, and arXiv), one patent search (8 patents), and two web searches for 2025–2026 concurrent work, the proposed pipeline is classified as “NEW”: no published or preprinted study integrates all three components simultaneously.</w:t>
      </w:r>
      <w:r>
        <w:rPr>
          <w:rFonts w:ascii="Calibri" w:hAnsi="Calibri" w:eastAsia="Calibri" w:cs="Calibri"/>
          <w:sz w:val="22"/>
          <w:szCs w:val="22"/>
        </w:rPr>
      </w:r>
    </w:p>
    <w:p w14:paraId="20F1C3B4">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6.2  Defensible Gap Statement</w:t>
      </w:r>
      <w:r>
        <w:rPr>
          <w:rFonts w:ascii="Calibri" w:hAnsi="Calibri" w:eastAsia="Calibri" w:cs="Calibri"/>
          <w:b/>
          <w:bCs/>
          <w:color w:val="264f78"/>
          <w:sz w:val="26"/>
          <w:szCs w:val="26"/>
        </w:rPr>
      </w:r>
    </w:p>
    <w:p w14:paraId="3656BB15">
      <w:pPr>
        <w:pBdr/>
        <w:spacing w:after="120" w:line="276" w:lineRule="auto"/>
        <w:ind/>
        <w:jc w:val="both"/>
        <w:rPr>
          <w:rFonts w:ascii="Calibri" w:hAnsi="Calibri" w:cs="Calibri"/>
          <w:sz w:val="22"/>
          <w:szCs w:val="22"/>
        </w:rPr>
      </w:pPr>
      <w:r>
        <w:rPr>
          <w:rFonts w:ascii="Calibri" w:hAnsi="Calibri" w:eastAsia="Calibri" w:cs="Calibri"/>
          <w:sz w:val="22"/>
          <w:szCs w:val="22"/>
        </w:rPr>
        <w:t xml:space="preserve">No published study integrates population-survey behavioral sleep measures (NHANES) as input predictors with neural EEG biomarker validation (Sleep-EDF polysomnographic recordings and a resting-state sleep-deprivation EEG dataset) within a unified LSTM temporal modeling pipeline augmented by an LLM-based structured-data fusion and interpretability module. Specifically: (a) NHANES-based ML studies (Sakal 2024; Low 2019; Wang 2025; Yu 2024) use no EEG; (b) Sleep-EDF deep-learning studies (Almutairi 2023; Samaee 2025; Sidhu 2025) predict sleep stages, not cognitive decline, and use no NHANES; (c) the sole LLM+NHANES paper (Titus 2023) addresses obesity/diabetes without EEG or cognitive-decline prediction; and (d) EEG–cognitive correlation work (Stikic 2011; Harel 2025) uses no NHANES and no LLM.</w:t>
      </w:r>
      <w:r>
        <w:rPr>
          <w:rFonts w:ascii="Calibri" w:hAnsi="Calibri" w:eastAsia="Calibri" w:cs="Calibri"/>
          <w:sz w:val="22"/>
          <w:szCs w:val="22"/>
        </w:rPr>
      </w:r>
    </w:p>
    <w:p w14:paraId="0381502A">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6.3  Risk Register Note</w:t>
      </w:r>
      <w:r>
        <w:rPr>
          <w:rFonts w:ascii="Calibri" w:hAnsi="Calibri" w:eastAsia="Calibri" w:cs="Calibri"/>
          <w:b/>
          <w:bCs/>
          <w:color w:val="264f78"/>
          <w:sz w:val="26"/>
          <w:szCs w:val="26"/>
        </w:rPr>
      </w:r>
    </w:p>
    <w:p w14:paraId="05BE2260">
      <w:pPr>
        <w:pBdr/>
        <w:spacing w:after="120" w:line="276" w:lineRule="auto"/>
        <w:ind/>
        <w:jc w:val="both"/>
        <w:rPr>
          <w:rFonts w:ascii="Calibri" w:hAnsi="Calibri" w:cs="Calibri"/>
          <w:bCs/>
          <w:i/>
          <w:sz w:val="22"/>
          <w:szCs w:val="22"/>
        </w:rPr>
      </w:pPr>
      <w:r>
        <w:rPr>
          <w:rFonts w:ascii="Calibri" w:hAnsi="Calibri" w:eastAsia="Calibri" w:cs="Calibri"/>
          <w:i/>
          <w:iCs/>
          <w:sz w:val="22"/>
          <w:szCs w:val="22"/>
        </w:rPr>
        <w:t xml:space="preserve">The primary novelty risk is confirmatory rather than competitive: the NHANES sleep features may have weak predictive signal for EEG biomarkers independently of the deep-learning model. This is addressed by Objective O4 (explicit benchmarking against reported baselines) and by including ablation runs (NHANES-only, EEG-only, LSTM-only, LLM-only) in Stage 5.</w:t>
      </w:r>
      <w:r>
        <w:rPr>
          <w:rFonts w:ascii="Calibri" w:hAnsi="Calibri" w:eastAsia="Calibri" w:cs="Calibri"/>
          <w:i/>
          <w:iCs/>
          <w:sz w:val="22"/>
          <w:szCs w:val="22"/>
        </w:rPr>
      </w:r>
    </w:p>
    <w:p w14:paraId="37FB9863">
      <w:pPr>
        <w:pBdr>
          <w:top w:val="single" w:color="bbbbbb" w:sz="6" w:space="0"/>
        </w:pBdr>
        <w:spacing w:after="120" w:before="120"/>
        <w:ind/>
        <w:rPr/>
      </w:pPr>
      <w:r/>
    </w:p>
    <w:p w14:paraId="6D2BE9BE">
      <w:pPr>
        <w:pBdr>
          <w:top w:val="single" w:color="17375e" w:sz="8" w:space="0"/>
        </w:pBdr>
        <w:spacing w:after="160" w:before="400"/>
        <w:ind/>
        <w:rPr>
          <w:rFonts w:ascii="Calibri" w:hAnsi="Calibri" w:cs="Calibri"/>
          <w:b/>
          <w:bCs/>
          <w:color w:val="17375e"/>
          <w:sz w:val="32"/>
          <w:szCs w:val="32"/>
        </w:rPr>
      </w:pPr>
      <w:r>
        <w:rPr>
          <w:rFonts w:ascii="Calibri" w:hAnsi="Calibri" w:eastAsia="Calibri" w:cs="Calibri"/>
          <w:b/>
          <w:bCs/>
          <w:color w:val="17375e"/>
          <w:sz w:val="32"/>
          <w:szCs w:val="32"/>
        </w:rPr>
        <w:t xml:space="preserve">7.  Gate Verdict</w:t>
      </w:r>
      <w:r>
        <w:rPr>
          <w:rFonts w:ascii="Calibri" w:hAnsi="Calibri" w:eastAsia="Calibri" w:cs="Calibri"/>
          <w:b/>
          <w:bCs/>
          <w:color w:val="17375e"/>
          <w:sz w:val="32"/>
          <w:szCs w:val="32"/>
        </w:rPr>
      </w:r>
    </w:p>
    <w:p w14:paraId="12AE2190">
      <w:pPr>
        <w:pBdr/>
        <w:shd w:val="clear" w:color="1e5c2e" w:fill="1e5c2e"/>
        <w:spacing w:after="60" w:before="160"/>
        <w:ind/>
        <w:jc w:val="center"/>
        <w:rPr>
          <w:rFonts w:ascii="Calibri" w:hAnsi="Calibri" w:cs="Calibri"/>
          <w:b/>
          <w:bCs/>
          <w:color w:val="ffffff"/>
          <w:sz w:val="26"/>
          <w:szCs w:val="26"/>
        </w:rPr>
      </w:pPr>
      <w:r>
        <w:rPr>
          <w:rFonts w:ascii="Calibri" w:hAnsi="Calibri" w:eastAsia="Calibri" w:cs="Calibri"/>
          <w:b/>
          <w:bCs/>
          <w:color w:val="ffffff"/>
          <w:sz w:val="26"/>
          <w:szCs w:val="26"/>
        </w:rPr>
        <w:t xml:space="preserve">✅  GATE VERDICT: PASS</w:t>
      </w:r>
      <w:r>
        <w:rPr>
          <w:rFonts w:ascii="Calibri" w:hAnsi="Calibri" w:eastAsia="Calibri" w:cs="Calibri"/>
          <w:b/>
          <w:bCs/>
          <w:color w:val="ffffff"/>
          <w:sz w:val="26"/>
          <w:szCs w:val="26"/>
        </w:rPr>
      </w:r>
    </w:p>
    <w:p w14:paraId="5A80764A">
      <w:pPr>
        <w:pBdr/>
        <w:shd w:val="clear" w:color="1e5c2e" w:fill="1e5c2e"/>
        <w:spacing w:after="160" w:line="276" w:lineRule="auto"/>
        <w:ind/>
        <w:jc w:val="both"/>
        <w:rPr>
          <w:rFonts w:ascii="Calibri" w:hAnsi="Calibri" w:cs="Calibri"/>
          <w:sz w:val="22"/>
          <w:szCs w:val="22"/>
        </w:rPr>
      </w:pPr>
      <w:r>
        <w:rPr>
          <w:rFonts w:ascii="Calibri" w:hAnsi="Calibri" w:eastAsia="Calibri" w:cs="Calibri"/>
          <w:sz w:val="22"/>
          <w:szCs w:val="22"/>
        </w:rPr>
        <w:t xml:space="preserve">All four PASS conditions are satisfied: (1) Defensible novelty gap confirmed — no concurrent pipeline combining NHANES + Sleep-EDF + LSTM–LLM for cognitive-decline prediction exists as of October 2026. (2) Quantitative published baselines identified and seeded in external_values.yaml (NHANES AUC ≥ 0.82; Sleep-EDF accuracy 89.2– 96.57%; EEG–cognitive Pearson r 0.79–0.89). (3) All three datasets are publicly available: NHANES (CDC NCHS), Sleep-EDF (PhysioNet), resting-state EEG sleep deprivation dataset (PhysioNet / Zenodo). (4) The research question is testable with measurable primary metrics: AUC (NHANES classification), Cohen’s κ (EEG staging), and Pearson correlation (EEG–behavioral alignment).</w:t>
      </w:r>
      <w:r>
        <w:rPr>
          <w:rFonts w:ascii="Calibri" w:hAnsi="Calibri" w:eastAsia="Calibri" w:cs="Calibri"/>
          <w:sz w:val="22"/>
          <w:szCs w:val="22"/>
        </w:rPr>
      </w:r>
    </w:p>
    <w:p w14:paraId="66B3F75D">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7.1  Conditions to Watch (not blockers)</w:t>
      </w:r>
      <w:r>
        <w:rPr>
          <w:rFonts w:ascii="Calibri" w:hAnsi="Calibri" w:eastAsia="Calibri" w:cs="Calibri"/>
          <w:b/>
          <w:bCs/>
          <w:color w:val="264f78"/>
          <w:sz w:val="26"/>
          <w:szCs w:val="26"/>
        </w:rPr>
      </w:r>
    </w:p>
    <w:p w14:paraId="2A31212C">
      <w:pPr>
        <w:pBdr/>
        <w:spacing w:after="120" w:line="276" w:lineRule="auto"/>
        <w:ind/>
        <w:jc w:val="both"/>
        <w:rPr>
          <w:rFonts w:ascii="Calibri" w:hAnsi="Calibri" w:cs="Calibri"/>
          <w:sz w:val="22"/>
          <w:szCs w:val="22"/>
        </w:rPr>
      </w:pPr>
      <w:r>
        <w:rPr>
          <w:rFonts w:ascii="Calibri" w:hAnsi="Calibri" w:eastAsia="Calibri" w:cs="Calibri"/>
          <w:sz w:val="22"/>
          <w:szCs w:val="22"/>
        </w:rPr>
        <w:t xml:space="preserve">W1 — Data alignment: NHANES subjects have no matched EEG recordings; the pipeline must operate in a two-stage setup (Stage A: NHANES behavioral risk model; Stage B: EEG biomarker validation on separate Sleep-EDF cohort). Explicit methodological acknowledgment required in Stage 3 (Protocol).</w:t>
      </w:r>
      <w:r>
        <w:rPr>
          <w:rFonts w:ascii="Calibri" w:hAnsi="Calibri" w:eastAsia="Calibri" w:cs="Calibri"/>
          <w:sz w:val="22"/>
          <w:szCs w:val="22"/>
        </w:rPr>
      </w:r>
    </w:p>
    <w:p w14:paraId="50F02838">
      <w:pPr>
        <w:pBdr/>
        <w:spacing w:after="120" w:line="276" w:lineRule="auto"/>
        <w:ind/>
        <w:jc w:val="both"/>
        <w:rPr>
          <w:rFonts w:ascii="Calibri" w:hAnsi="Calibri" w:cs="Calibri"/>
          <w:sz w:val="22"/>
          <w:szCs w:val="22"/>
        </w:rPr>
      </w:pPr>
      <w:r>
        <w:rPr>
          <w:rFonts w:ascii="Calibri" w:hAnsi="Calibri" w:eastAsia="Calibri" w:cs="Calibri"/>
          <w:sz w:val="22"/>
          <w:szCs w:val="22"/>
        </w:rPr>
        <w:t xml:space="preserve">W2 — LLM module scope: the LLM component must be operationally defined in Stage 3 (structured-data reasoning / feature weighting / interpretability generation) to avoid reviewer challenge on architectural novelty claims.</w:t>
      </w:r>
      <w:r>
        <w:rPr>
          <w:rFonts w:ascii="Calibri" w:hAnsi="Calibri" w:eastAsia="Calibri" w:cs="Calibri"/>
          <w:sz w:val="22"/>
          <w:szCs w:val="22"/>
        </w:rPr>
      </w:r>
    </w:p>
    <w:p w14:paraId="5D0C074F">
      <w:pPr>
        <w:pBdr/>
        <w:spacing w:after="120" w:line="276" w:lineRule="auto"/>
        <w:ind/>
        <w:jc w:val="both"/>
        <w:rPr>
          <w:rFonts w:ascii="Calibri" w:hAnsi="Calibri" w:cs="Calibri"/>
          <w:sz w:val="22"/>
          <w:szCs w:val="22"/>
        </w:rPr>
      </w:pPr>
      <w:r>
        <w:rPr>
          <w:rFonts w:ascii="Calibri" w:hAnsi="Calibri" w:eastAsia="Calibri" w:cs="Calibri"/>
          <w:sz w:val="22"/>
          <w:szCs w:val="22"/>
        </w:rPr>
        <w:t xml:space="preserve">W3 — Concurrent-work staleness: searches were conducted October 2026; re-run at Stage 4 and Stage 8 to confirm no competitor has emerged.</w:t>
      </w:r>
      <w:r>
        <w:rPr>
          <w:rFonts w:ascii="Calibri" w:hAnsi="Calibri" w:eastAsia="Calibri" w:cs="Calibri"/>
          <w:sz w:val="22"/>
          <w:szCs w:val="22"/>
        </w:rPr>
      </w:r>
    </w:p>
    <w:p w14:paraId="75E92DF0">
      <w:pPr>
        <w:pBdr/>
        <w:spacing w:after="100" w:before="280"/>
        <w:ind/>
        <w:rPr>
          <w:rFonts w:ascii="Calibri" w:hAnsi="Calibri" w:cs="Calibri"/>
          <w:b/>
          <w:bCs/>
          <w:color w:val="264f78"/>
          <w:sz w:val="26"/>
          <w:szCs w:val="26"/>
        </w:rPr>
      </w:pPr>
      <w:r>
        <w:rPr>
          <w:rFonts w:ascii="Calibri" w:hAnsi="Calibri" w:eastAsia="Calibri" w:cs="Calibri"/>
          <w:b/>
          <w:bCs/>
          <w:color w:val="264f78"/>
          <w:sz w:val="26"/>
          <w:szCs w:val="26"/>
        </w:rPr>
        <w:t xml:space="preserve">7.2  Proceed to Stage 1B</w:t>
      </w:r>
      <w:r>
        <w:rPr>
          <w:rFonts w:ascii="Calibri" w:hAnsi="Calibri" w:eastAsia="Calibri" w:cs="Calibri"/>
          <w:b/>
          <w:bCs/>
          <w:color w:val="264f78"/>
          <w:sz w:val="26"/>
          <w:szCs w:val="26"/>
        </w:rPr>
      </w:r>
    </w:p>
    <w:p w14:paraId="2589D01A">
      <w:pPr>
        <w:pBdr/>
        <w:spacing w:after="120" w:line="276" w:lineRule="auto"/>
        <w:ind/>
        <w:jc w:val="both"/>
        <w:rPr>
          <w:rFonts w:ascii="Calibri" w:hAnsi="Calibri" w:cs="Calibri"/>
          <w:sz w:val="22"/>
          <w:szCs w:val="22"/>
        </w:rPr>
      </w:pPr>
      <w:r>
        <w:rPr>
          <w:rFonts w:ascii="Calibri" w:hAnsi="Calibri" w:eastAsia="Calibri" w:cs="Calibri"/>
          <w:sz w:val="22"/>
          <w:szCs w:val="22"/>
        </w:rPr>
        <w:t xml:space="preserve">The next step is Stage 1B — Significance and Q1 Journal Strategy — which will identify target journals with verified quartile data (JCR/SJR), confirm scope fit using 3 comparable recently-published papers, produce a ranked submission cascade, and add EB-1A extraordinary-ability value notes.</w:t>
      </w:r>
      <w:r>
        <w:rPr>
          <w:rFonts w:ascii="Calibri" w:hAnsi="Calibri" w:eastAsia="Calibri" w:cs="Calibri"/>
          <w:sz w:val="22"/>
          <w:szCs w:val="22"/>
        </w:rPr>
      </w:r>
    </w:p>
    <w:p w14:paraId="110EB182">
      <w:pPr>
        <w:pBdr>
          <w:top w:val="single" w:color="bbbbbb" w:sz="6" w:space="0"/>
        </w:pBdr>
        <w:spacing w:after="120" w:before="120"/>
        <w:ind/>
        <w:rPr/>
      </w:pPr>
      <w:r/>
    </w:p>
    <w:p w14:paraId="61E850AA">
      <w:pPr>
        <w:pBdr>
          <w:top w:val="single" w:color="bbbbbb" w:sz="6" w:space="0"/>
        </w:pBdr>
        <w:spacing w:before="200"/>
        <w:ind/>
        <w:jc w:val="center"/>
        <w:rPr>
          <w:rFonts w:ascii="Calibri" w:hAnsi="Calibri" w:cs="Calibri"/>
          <w:bCs/>
          <w:i/>
          <w:color w:val="808080"/>
          <w:sz w:val="16"/>
          <w:szCs w:val="16"/>
        </w:rPr>
      </w:pPr>
      <w:r>
        <w:rPr>
          <w:rFonts w:ascii="Calibri" w:hAnsi="Calibri" w:eastAsia="Calibri" w:cs="Calibri"/>
          <w:i/>
          <w:iCs/>
          <w:color w:val="808080"/>
          <w:sz w:val="16"/>
          <w:szCs w:val="16"/>
        </w:rPr>
        <w:t xml:space="preserve">All citations, metrics, and dataset references in this memo originate from actual search results retrieved in this session. No numbers have been invented. All synthetic data used in Stages 4–7 will carry synthetic=true flags. This document was generated as part of a 9-stage research pipeline; pipeline version: Stage 1 / October 2026.</w:t>
      </w:r>
      <w:r>
        <w:rPr>
          <w:rFonts w:ascii="Calibri" w:hAnsi="Calibri" w:eastAsia="Calibri" w:cs="Calibri"/>
          <w:i/>
          <w:iCs/>
          <w:color w:val="808080"/>
          <w:sz w:val="16"/>
          <w:szCs w:val="16"/>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2026-10-27T06:41:26Z</dcterms:modified>
</cp:coreProperties>
</file>