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224791">
      <w:pPr>
        <w:pBdr/>
        <w:spacing/>
        <w:ind/>
        <w:rPr/>
      </w:pPr>
      <w:r/>
      <w:r/>
    </w:p>
    <w:p w14:paraId="268785D8">
      <w:pPr>
        <w:pBdr/>
        <w:spacing w:after="80"/>
        <w:ind/>
        <w:jc w:val="center"/>
        <w:rPr/>
      </w:pPr>
      <w:r>
        <w:rPr>
          <w:b/>
          <w:color w:val="17375e"/>
          <w:sz w:val="44"/>
        </w:rPr>
        <w:t xml:space="preserve">STAGE 1B: SIGNIFICANCE &amp; Q1 JOURNAL STRATEGY</w:t>
      </w:r>
      <w:r/>
    </w:p>
    <w:p w14:paraId="56D8DD8C">
      <w:pPr>
        <w:pBdr/>
        <w:spacing w:after="60"/>
        <w:ind/>
        <w:jc w:val="center"/>
        <w:rPr/>
      </w:pPr>
      <w:r>
        <w:rPr>
          <w:i/>
          <w:color w:val="444444"/>
          <w:sz w:val="22"/>
        </w:rPr>
        <w:t xml:space="preserve">From Population Surveys to Neural Signals: A Hybrid LSTM-LLM Framework for Predicting EEG-Indexed Cognitive Decline from NHANES Sleep Behavioral Features</w:t>
      </w:r>
      <w:r/>
    </w:p>
    <w:p w14:paraId="4DE9377B">
      <w:pPr>
        <w:pBdr/>
        <w:spacing w:after="60"/>
        <w:ind/>
        <w:jc w:val="center"/>
        <w:rPr/>
      </w:pPr>
      <w:r>
        <w:rPr>
          <w:b w:val="0"/>
          <w:i w:val="0"/>
          <w:color w:val="666666"/>
          <w:sz w:val="20"/>
        </w:rPr>
        <w:t xml:space="preserve">Research Pipeline Stage 1B  |  Date: October 27, 2026  |  Status: ACTIVE</w:t>
      </w:r>
      <w:r/>
    </w:p>
    <w:p w14:paraId="04B5163F">
      <w:pPr>
        <w:pBdr/>
        <w:spacing w:after="200"/>
        <w:ind/>
        <w:jc w:val="center"/>
        <w:rPr/>
      </w:pPr>
      <w:r>
        <w:rPr>
          <w:b/>
          <w:i w:val="0"/>
          <w:color w:val="007a33"/>
          <w:sz w:val="20"/>
        </w:rPr>
        <w:t xml:space="preserve">Gate prerequisite: Stage 1 Novelty Gate — PASS (commit 94fc426)</w:t>
      </w:r>
      <w:r/>
    </w:p>
    <w:p w14:paraId="194EBBA0">
      <w:pPr>
        <w:pBdr/>
        <w:spacing w:after="120" w:before="200"/>
        <w:ind/>
        <w:rPr/>
      </w:pPr>
      <w:r>
        <w:rPr>
          <w:b/>
          <w:color w:val="17375e"/>
          <w:sz w:val="32"/>
        </w:rPr>
        <w:t xml:space="preserve">1. Purpose of Stage 1B</w:t>
      </w:r>
      <w:r/>
    </w:p>
    <w:p w14:paraId="14426213">
      <w:pPr>
        <w:pBdr/>
        <w:spacing w:after="80"/>
        <w:ind/>
        <w:rPr/>
      </w:pPr>
      <w:r>
        <w:rPr>
          <w:b w:val="0"/>
          <w:i w:val="0"/>
          <w:color w:val="333333"/>
          <w:sz w:val="22"/>
        </w:rPr>
        <w:t xml:space="preserve">Stage 1B establishes the significance of the research and selects the optimal Q1 journal submission cascade. All journal metrics are sourced from Scimago (SJR) via Resurchify (last updated August 14, 2026). APC figures are approxi</w:t>
      </w:r>
      <w:r>
        <w:rPr>
          <w:b w:val="0"/>
          <w:i w:val="0"/>
          <w:color w:val="333333"/>
          <w:sz w:val="22"/>
        </w:rPr>
        <w:t xml:space="preserve">mate public list prices — verify at time of submission. The cascade is ranked by scope fit, impact, and editorial accessibility for a computational health informatics manuscript combining population survey data, EEG biomarkers, LSTM, and LLM architectures.</w:t>
      </w:r>
      <w:r/>
    </w:p>
    <w:p w14:paraId="2F49E044">
      <w:pPr>
        <w:pBdr/>
        <w:spacing w:after="60"/>
        <w:ind/>
        <w:rPr/>
      </w:pPr>
      <w:r>
        <w:rPr>
          <w:b/>
          <w:i w:val="0"/>
          <w:color w:val="333333"/>
          <w:sz w:val="22"/>
        </w:rPr>
        <w:t xml:space="preserve">Stage 1B deliverables:</w:t>
      </w:r>
      <w:r/>
    </w:p>
    <w:p w14:paraId="6E836BAB">
      <w:pPr>
        <w:pBdr/>
        <w:spacing w:after="60"/>
        <w:ind w:hanging="180" w:left="360"/>
        <w:rPr/>
      </w:pPr>
      <w:r>
        <w:rPr>
          <w:b/>
          <w:sz w:val="22"/>
        </w:rPr>
        <w:t xml:space="preserve">•  </w:t>
      </w:r>
      <w:r>
        <w:rPr>
          <w:sz w:val="22"/>
        </w:rPr>
        <w:t xml:space="preserve">Verified journal metrics for 8 candidate Q1 journals (IS, SJR, quartile, h-index, publisher)</w:t>
      </w:r>
      <w:r/>
    </w:p>
    <w:p w14:paraId="492D4111">
      <w:pPr>
        <w:pBdr/>
        <w:spacing w:after="60"/>
        <w:ind w:hanging="180" w:left="360"/>
        <w:rPr/>
      </w:pPr>
      <w:r>
        <w:rPr>
          <w:b/>
          <w:sz w:val="22"/>
        </w:rPr>
        <w:t xml:space="preserve">•  </w:t>
      </w:r>
      <w:r>
        <w:rPr>
          <w:sz w:val="22"/>
        </w:rPr>
        <w:t xml:space="preserve">Ranked submission cascade: Tier 1 (flagship) -&gt; Tier 2 (primary) -&gt; Tier 3 (accessible Q1)</w:t>
      </w:r>
      <w:r/>
    </w:p>
    <w:p w14:paraId="557650E5">
      <w:pPr>
        <w:pBdr/>
        <w:spacing w:after="60"/>
        <w:ind w:hanging="180" w:left="360"/>
        <w:rPr/>
      </w:pPr>
      <w:r>
        <w:rPr>
          <w:b/>
          <w:sz w:val="22"/>
        </w:rPr>
        <w:t xml:space="preserve">•  </w:t>
      </w:r>
      <w:r>
        <w:rPr>
          <w:sz w:val="22"/>
        </w:rPr>
        <w:t xml:space="preserve">Comparable recent papers (3 per top-tier journal) confirming venue fit</w:t>
      </w:r>
      <w:r/>
    </w:p>
    <w:p w14:paraId="28A62D69">
      <w:pPr>
        <w:pBdr/>
        <w:spacing w:after="60"/>
        <w:ind w:hanging="180" w:left="360"/>
        <w:rPr/>
      </w:pPr>
      <w:r>
        <w:rPr>
          <w:b/>
          <w:sz w:val="22"/>
        </w:rPr>
        <w:t xml:space="preserve">•  </w:t>
      </w:r>
      <w:r>
        <w:rPr>
          <w:sz w:val="22"/>
        </w:rPr>
        <w:t xml:space="preserve">EB-1A extraordinary-ability value notes per journal</w:t>
      </w:r>
      <w:r/>
    </w:p>
    <w:p w14:paraId="5F98C644">
      <w:pPr>
        <w:pBdr/>
        <w:spacing w:after="60"/>
        <w:ind w:hanging="180" w:left="360"/>
        <w:rPr/>
      </w:pPr>
      <w:r>
        <w:rPr>
          <w:b/>
          <w:sz w:val="22"/>
        </w:rPr>
        <w:t xml:space="preserve">•  </w:t>
      </w:r>
      <w:r>
        <w:rPr>
          <w:sz w:val="22"/>
        </w:rPr>
        <w:t xml:space="preserve">Verdict: PROCEED TO STAGE 2 (Data Audit &amp; Cohort Definition)</w:t>
      </w:r>
      <w:r/>
    </w:p>
    <w:p w14:paraId="3EF4DE93">
      <w:pPr>
        <w:pBdr/>
        <w:spacing w:after="120"/>
        <w:ind/>
        <w:rPr/>
      </w:pPr>
      <w:r/>
      <w:r/>
    </w:p>
    <w:p w14:paraId="64D2EB0B">
      <w:pPr>
        <w:pBdr/>
        <w:spacing w:after="120" w:before="200"/>
        <w:ind/>
        <w:rPr/>
      </w:pPr>
      <w:r>
        <w:rPr>
          <w:b/>
          <w:color w:val="17375e"/>
          <w:sz w:val="32"/>
        </w:rPr>
        <w:t xml:space="preserve">2. Verified Journal Metrics (SJR / Resurchify, 2025 Data)</w:t>
      </w:r>
      <w:r/>
    </w:p>
    <w:p w14:paraId="40062434">
      <w:pPr>
        <w:pBdr/>
        <w:spacing w:after="100"/>
        <w:ind/>
        <w:rPr/>
      </w:pPr>
      <w:r>
        <w:rPr>
          <w:b w:val="0"/>
          <w:i w:val="0"/>
          <w:color w:val="555555"/>
          <w:sz w:val="20"/>
        </w:rPr>
        <w:t xml:space="preserve">All metrics confirme</w:t>
      </w:r>
      <w:r>
        <w:rPr>
          <w:b w:val="0"/>
          <w:i w:val="0"/>
          <w:color w:val="555555"/>
          <w:sz w:val="20"/>
        </w:rPr>
        <w:t xml:space="preserve">d by direct scraping of Resurchify journal detail pages (Scimago-derived SJR). IS = Impact Score (Scopus-based Cites/Doc 2 years). SJR = SCImago Journal Rank. Quartile = best SJR quartile across all subject categories. h-index = cumulative journal h-index.</w:t>
      </w:r>
      <w:r/>
    </w:p>
    <w:tbl>
      <w:tblPr>
        <w:tblW w:w="5000" w:type="pct"/>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222"/>
        <w:gridCol w:w="222"/>
        <w:gridCol w:w="222"/>
        <w:gridCol w:w="222"/>
        <w:gridCol w:w="222"/>
        <w:gridCol w:w="222"/>
        <w:gridCol w:w="222"/>
      </w:tblGrid>
      <w:tr>
        <w:trPr>
          <w:tblHeader/>
        </w:trPr>
        <w:tc>
          <w:tcPr>
            <w:shd w:val="clear" w:color="17375e" w:fill="17375e"/>
            <w:tcBorders/>
            <w:tcMar>
              <w:left w:w="115" w:type="dxa"/>
              <w:top w:w="80" w:type="dxa"/>
              <w:right w:w="115" w:type="dxa"/>
              <w:bottom w:w="80" w:type="dxa"/>
            </w:tcMar>
          </w:tcPr>
          <w:p w14:paraId="0AD3775C">
            <w:pPr>
              <w:pBdr/>
              <w:spacing/>
              <w:ind/>
              <w:jc w:val="center"/>
              <w:rPr>
                <w:b/>
                <w:bCs/>
                <w:color w:val="ffffff"/>
                <w:sz w:val="18"/>
                <w:szCs w:val="18"/>
              </w:rPr>
            </w:pPr>
            <w:r>
              <w:rPr>
                <w:b/>
                <w:bCs/>
                <w:color w:val="ffffff"/>
                <w:sz w:val="18"/>
                <w:szCs w:val="18"/>
              </w:rPr>
            </w:r>
            <w:r>
              <w:rPr>
                <w:b/>
                <w:bCs/>
                <w:color w:val="ffffff"/>
                <w:sz w:val="18"/>
                <w:szCs w:val="18"/>
              </w:rPr>
              <w:t xml:space="preserve">Journal</w:t>
            </w:r>
            <w:r>
              <w:rPr>
                <w:b/>
                <w:bCs/>
                <w:color w:val="ffffff"/>
                <w:sz w:val="18"/>
                <w:szCs w:val="18"/>
              </w:rPr>
            </w:r>
            <w:r>
              <w:rPr>
                <w:b/>
                <w:bCs/>
                <w:color w:val="ffffff"/>
                <w:sz w:val="18"/>
                <w:szCs w:val="18"/>
              </w:rPr>
            </w:r>
          </w:p>
        </w:tc>
        <w:tc>
          <w:tcPr>
            <w:shd w:val="clear" w:color="17375e" w:fill="17375e"/>
            <w:tcBorders/>
            <w:tcMar>
              <w:left w:w="115" w:type="dxa"/>
              <w:top w:w="80" w:type="dxa"/>
              <w:right w:w="115" w:type="dxa"/>
              <w:bottom w:w="80" w:type="dxa"/>
            </w:tcMar>
          </w:tcPr>
          <w:p w14:paraId="36CB8FA8">
            <w:pPr>
              <w:pBdr/>
              <w:spacing/>
              <w:ind/>
              <w:jc w:val="center"/>
              <w:rPr>
                <w:b/>
                <w:bCs/>
                <w:color w:val="ffffff"/>
                <w:sz w:val="18"/>
                <w:szCs w:val="18"/>
              </w:rPr>
            </w:pPr>
            <w:r>
              <w:rPr>
                <w:b/>
                <w:bCs/>
                <w:color w:val="ffffff"/>
                <w:sz w:val="18"/>
                <w:szCs w:val="18"/>
              </w:rPr>
            </w:r>
            <w:r>
              <w:rPr>
                <w:b/>
                <w:bCs/>
                <w:color w:val="ffffff"/>
                <w:sz w:val="18"/>
                <w:szCs w:val="18"/>
              </w:rPr>
              <w:t xml:space="preserve">IS</w:t>
            </w:r>
            <w:r>
              <w:rPr>
                <w:b/>
                <w:bCs/>
                <w:color w:val="ffffff"/>
                <w:sz w:val="18"/>
                <w:szCs w:val="18"/>
              </w:rPr>
            </w:r>
            <w:r>
              <w:rPr>
                <w:b/>
                <w:bCs/>
                <w:color w:val="ffffff"/>
                <w:sz w:val="18"/>
                <w:szCs w:val="18"/>
              </w:rPr>
            </w:r>
          </w:p>
        </w:tc>
        <w:tc>
          <w:tcPr>
            <w:shd w:val="clear" w:color="17375e" w:fill="17375e"/>
            <w:tcBorders/>
            <w:tcMar>
              <w:left w:w="115" w:type="dxa"/>
              <w:top w:w="80" w:type="dxa"/>
              <w:right w:w="115" w:type="dxa"/>
              <w:bottom w:w="80" w:type="dxa"/>
            </w:tcMar>
          </w:tcPr>
          <w:p w14:paraId="393E4D24">
            <w:pPr>
              <w:pBdr/>
              <w:spacing/>
              <w:ind/>
              <w:jc w:val="center"/>
              <w:rPr>
                <w:b/>
                <w:bCs/>
                <w:color w:val="ffffff"/>
                <w:sz w:val="18"/>
                <w:szCs w:val="18"/>
              </w:rPr>
            </w:pPr>
            <w:r>
              <w:rPr>
                <w:b/>
                <w:bCs/>
                <w:color w:val="ffffff"/>
                <w:sz w:val="18"/>
                <w:szCs w:val="18"/>
              </w:rPr>
            </w:r>
            <w:r>
              <w:rPr>
                <w:b/>
                <w:bCs/>
                <w:color w:val="ffffff"/>
                <w:sz w:val="18"/>
                <w:szCs w:val="18"/>
              </w:rPr>
              <w:t xml:space="preserve">SJR</w:t>
            </w:r>
            <w:r>
              <w:rPr>
                <w:b/>
                <w:bCs/>
                <w:color w:val="ffffff"/>
                <w:sz w:val="18"/>
                <w:szCs w:val="18"/>
              </w:rPr>
            </w:r>
            <w:r>
              <w:rPr>
                <w:b/>
                <w:bCs/>
                <w:color w:val="ffffff"/>
                <w:sz w:val="18"/>
                <w:szCs w:val="18"/>
              </w:rPr>
            </w:r>
          </w:p>
        </w:tc>
        <w:tc>
          <w:tcPr>
            <w:shd w:val="clear" w:color="17375e" w:fill="17375e"/>
            <w:tcBorders/>
            <w:tcMar>
              <w:left w:w="115" w:type="dxa"/>
              <w:top w:w="80" w:type="dxa"/>
              <w:right w:w="115" w:type="dxa"/>
              <w:bottom w:w="80" w:type="dxa"/>
            </w:tcMar>
          </w:tcPr>
          <w:p w14:paraId="5BF63579">
            <w:pPr>
              <w:pBdr/>
              <w:spacing/>
              <w:ind/>
              <w:jc w:val="center"/>
              <w:rPr>
                <w:b/>
                <w:bCs/>
                <w:color w:val="ffffff"/>
                <w:sz w:val="18"/>
                <w:szCs w:val="18"/>
              </w:rPr>
            </w:pPr>
            <w:r>
              <w:rPr>
                <w:b/>
                <w:bCs/>
                <w:color w:val="ffffff"/>
                <w:sz w:val="18"/>
                <w:szCs w:val="18"/>
              </w:rPr>
            </w:r>
            <w:r>
              <w:rPr>
                <w:b/>
                <w:bCs/>
                <w:color w:val="ffffff"/>
                <w:sz w:val="18"/>
                <w:szCs w:val="18"/>
              </w:rPr>
              <w:t xml:space="preserve">Quartile</w:t>
            </w:r>
            <w:r>
              <w:rPr>
                <w:b/>
                <w:bCs/>
                <w:color w:val="ffffff"/>
                <w:sz w:val="18"/>
                <w:szCs w:val="18"/>
              </w:rPr>
            </w:r>
            <w:r>
              <w:rPr>
                <w:b/>
                <w:bCs/>
                <w:color w:val="ffffff"/>
                <w:sz w:val="18"/>
                <w:szCs w:val="18"/>
              </w:rPr>
            </w:r>
          </w:p>
        </w:tc>
        <w:tc>
          <w:tcPr>
            <w:shd w:val="clear" w:color="17375e" w:fill="17375e"/>
            <w:tcBorders/>
            <w:tcMar>
              <w:left w:w="115" w:type="dxa"/>
              <w:top w:w="80" w:type="dxa"/>
              <w:right w:w="115" w:type="dxa"/>
              <w:bottom w:w="80" w:type="dxa"/>
            </w:tcMar>
          </w:tcPr>
          <w:p w14:paraId="7084263F">
            <w:pPr>
              <w:pBdr/>
              <w:spacing/>
              <w:ind/>
              <w:jc w:val="center"/>
              <w:rPr>
                <w:b/>
                <w:bCs/>
                <w:color w:val="ffffff"/>
                <w:sz w:val="18"/>
                <w:szCs w:val="18"/>
              </w:rPr>
            </w:pPr>
            <w:r>
              <w:rPr>
                <w:b/>
                <w:bCs/>
                <w:color w:val="ffffff"/>
                <w:sz w:val="18"/>
                <w:szCs w:val="18"/>
              </w:rPr>
            </w:r>
            <w:r>
              <w:rPr>
                <w:b/>
                <w:bCs/>
                <w:color w:val="ffffff"/>
                <w:sz w:val="18"/>
                <w:szCs w:val="18"/>
              </w:rPr>
              <w:t xml:space="preserve">h-index</w:t>
            </w:r>
            <w:r>
              <w:rPr>
                <w:b/>
                <w:bCs/>
                <w:color w:val="ffffff"/>
                <w:sz w:val="18"/>
                <w:szCs w:val="18"/>
              </w:rPr>
            </w:r>
            <w:r>
              <w:rPr>
                <w:b/>
                <w:bCs/>
                <w:color w:val="ffffff"/>
                <w:sz w:val="18"/>
                <w:szCs w:val="18"/>
              </w:rPr>
            </w:r>
          </w:p>
        </w:tc>
        <w:tc>
          <w:tcPr>
            <w:shd w:val="clear" w:color="17375e" w:fill="17375e"/>
            <w:tcBorders/>
            <w:tcMar>
              <w:left w:w="115" w:type="dxa"/>
              <w:top w:w="80" w:type="dxa"/>
              <w:right w:w="115" w:type="dxa"/>
              <w:bottom w:w="80" w:type="dxa"/>
            </w:tcMar>
          </w:tcPr>
          <w:p w14:paraId="17C521CB">
            <w:pPr>
              <w:pBdr/>
              <w:spacing/>
              <w:ind/>
              <w:jc w:val="center"/>
              <w:rPr>
                <w:b/>
                <w:bCs/>
                <w:color w:val="ffffff"/>
                <w:sz w:val="18"/>
                <w:szCs w:val="18"/>
              </w:rPr>
            </w:pPr>
            <w:r>
              <w:rPr>
                <w:b/>
                <w:bCs/>
                <w:color w:val="ffffff"/>
                <w:sz w:val="18"/>
                <w:szCs w:val="18"/>
              </w:rPr>
            </w:r>
            <w:r>
              <w:rPr>
                <w:b/>
                <w:bCs/>
                <w:color w:val="ffffff"/>
                <w:sz w:val="18"/>
                <w:szCs w:val="18"/>
              </w:rPr>
              <w:t xml:space="preserve">Publisher</w:t>
            </w:r>
            <w:r>
              <w:rPr>
                <w:b/>
                <w:bCs/>
                <w:color w:val="ffffff"/>
                <w:sz w:val="18"/>
                <w:szCs w:val="18"/>
              </w:rPr>
            </w:r>
            <w:r>
              <w:rPr>
                <w:b/>
                <w:bCs/>
                <w:color w:val="ffffff"/>
                <w:sz w:val="18"/>
                <w:szCs w:val="18"/>
              </w:rPr>
            </w:r>
          </w:p>
        </w:tc>
        <w:tc>
          <w:tcPr>
            <w:shd w:val="clear" w:color="17375e" w:fill="17375e"/>
            <w:tcBorders/>
            <w:tcMar>
              <w:left w:w="115" w:type="dxa"/>
              <w:top w:w="80" w:type="dxa"/>
              <w:right w:w="115" w:type="dxa"/>
              <w:bottom w:w="80" w:type="dxa"/>
            </w:tcMar>
          </w:tcPr>
          <w:p w14:paraId="78CDCE64">
            <w:pPr>
              <w:pBdr/>
              <w:spacing/>
              <w:ind/>
              <w:jc w:val="center"/>
              <w:rPr>
                <w:b/>
                <w:bCs/>
                <w:color w:val="ffffff"/>
                <w:sz w:val="18"/>
                <w:szCs w:val="18"/>
              </w:rPr>
            </w:pPr>
            <w:r>
              <w:rPr>
                <w:b/>
                <w:bCs/>
                <w:color w:val="ffffff"/>
                <w:sz w:val="18"/>
                <w:szCs w:val="18"/>
              </w:rPr>
            </w:r>
            <w:r>
              <w:rPr>
                <w:b/>
                <w:bCs/>
                <w:color w:val="ffffff"/>
                <w:sz w:val="18"/>
                <w:szCs w:val="18"/>
              </w:rPr>
              <w:t xml:space="preserve">Key Scope Categories</w:t>
            </w:r>
            <w:r>
              <w:rPr>
                <w:b/>
                <w:bCs/>
                <w:color w:val="ffffff"/>
                <w:sz w:val="18"/>
                <w:szCs w:val="18"/>
              </w:rPr>
            </w:r>
            <w:r>
              <w:rPr>
                <w:b/>
                <w:bCs/>
                <w:color w:val="ffffff"/>
                <w:sz w:val="18"/>
                <w:szCs w:val="18"/>
              </w:rPr>
            </w:r>
          </w:p>
        </w:tc>
      </w:tr>
      <w:tr>
        <w:trPr/>
        <w:tc>
          <w:tcPr>
            <w:shd w:val="clear" w:color="f5f8ff" w:fill="f5f8ff"/>
            <w:tcBorders/>
            <w:tcMar>
              <w:left w:w="115" w:type="dxa"/>
              <w:top w:w="60" w:type="dxa"/>
              <w:right w:w="115" w:type="dxa"/>
              <w:bottom w:w="60" w:type="dxa"/>
            </w:tcMar>
            <w:vMerge w:val="restart"/>
          </w:tcPr>
          <w:p w14:paraId="6869F3D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IEEE J. Biomed. Health Inform. (JBHI)</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3025F6D1">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8.18</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4BF9B99">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1.624</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4CFBB6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Q1</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2713984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179</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436874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IEEE</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496E36F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Health Informatics; CS Applications; Biomedical Eng; EE</w:t>
            </w:r>
            <w:r>
              <w:rPr>
                <w:b w:val="0"/>
                <w:bCs w:val="0"/>
                <w:color w:val="222222"/>
                <w:sz w:val="18"/>
                <w:szCs w:val="18"/>
              </w:rPr>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46A75AB6">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npj Digital Medicine</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4D2C4B3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18.02</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0944720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4.215</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4AB7391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Q1</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7D4CF57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130</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75F1401">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Nature Pub. Group</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0D564F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CS Applications; Health Informatics; Medicine</w:t>
            </w:r>
            <w:r>
              <w:rPr>
                <w:b w:val="0"/>
                <w:bCs w:val="0"/>
                <w:color w:val="222222"/>
                <w:sz w:val="18"/>
                <w:szCs w:val="18"/>
              </w:rPr>
            </w:r>
            <w:r>
              <w:rPr>
                <w:b w:val="0"/>
                <w:bCs w:val="0"/>
                <w:color w:val="222222"/>
                <w:sz w:val="18"/>
                <w:szCs w:val="18"/>
              </w:rPr>
            </w:r>
          </w:p>
        </w:tc>
      </w:tr>
      <w:tr>
        <w:trPr/>
        <w:tc>
          <w:tcPr>
            <w:shd w:val="clear" w:color="f5f8ff" w:fill="f5f8ff"/>
            <w:tcBorders/>
            <w:tcMar>
              <w:left w:w="115" w:type="dxa"/>
              <w:top w:w="60" w:type="dxa"/>
              <w:right w:w="115" w:type="dxa"/>
              <w:bottom w:w="60" w:type="dxa"/>
            </w:tcMar>
            <w:vMerge w:val="restart"/>
          </w:tcPr>
          <w:p w14:paraId="0810EA63">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Artificial Intelligence in Medicine</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524671B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9.45</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56214E18">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1.659</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36B51B6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Q1</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0AB496D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130</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CF13081">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Elsevier B.V.</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2E9B9F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Artificial Intelligence; Health Informatics; Medicine (misc)</w:t>
            </w:r>
            <w:r>
              <w:rPr>
                <w:b w:val="0"/>
                <w:bCs w:val="0"/>
                <w:color w:val="222222"/>
                <w:sz w:val="18"/>
                <w:szCs w:val="18"/>
              </w:rPr>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423E192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J. Medical Internet Research (JMIR)</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03CADEC">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8.53</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6391EE23">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2.109</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0EC573BA">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Q1</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771A7B3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234</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95EA581">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JMIR Publications</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00FE429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CS Applications; Health Informatics</w:t>
            </w:r>
            <w:r>
              <w:rPr>
                <w:b w:val="0"/>
                <w:bCs w:val="0"/>
                <w:color w:val="222222"/>
                <w:sz w:val="18"/>
                <w:szCs w:val="18"/>
              </w:rPr>
            </w:r>
            <w:r>
              <w:rPr>
                <w:b w:val="0"/>
                <w:bCs w:val="0"/>
                <w:color w:val="222222"/>
                <w:sz w:val="18"/>
                <w:szCs w:val="18"/>
              </w:rPr>
            </w:r>
          </w:p>
        </w:tc>
      </w:tr>
      <w:tr>
        <w:trPr/>
        <w:tc>
          <w:tcPr>
            <w:shd w:val="clear" w:color="f5f8ff" w:fill="f5f8ff"/>
            <w:tcBorders/>
            <w:tcMar>
              <w:left w:w="115" w:type="dxa"/>
              <w:top w:w="60" w:type="dxa"/>
              <w:right w:w="115" w:type="dxa"/>
              <w:bottom w:w="60" w:type="dxa"/>
            </w:tcMar>
            <w:vMerge w:val="restart"/>
          </w:tcPr>
          <w:p w14:paraId="08A78F7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Computers in Biology and Medicine (CIBM)</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6257C1A1">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8.35</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E6C12E9">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1.375</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6EB19D2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Q1</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544B3B49">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164</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5106A9D7">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Elsevier Ltd</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0472180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CS Applications; Health Informatics</w:t>
            </w:r>
            <w:r>
              <w:rPr>
                <w:b w:val="0"/>
                <w:bCs w:val="0"/>
                <w:color w:val="222222"/>
                <w:sz w:val="18"/>
                <w:szCs w:val="18"/>
              </w:rPr>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3FD82DEB">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Biomedical Signal Process. &amp; Control (BSPC)</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46B8E3FC">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7.99</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5927874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1.336</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4EB569A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Q1</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19FEF91C">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141</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0C3CF5B6">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Elsevier Ltd</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A6AD05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Biomedical Engineering; Health Informatics; Signal Processing</w:t>
            </w:r>
            <w:r>
              <w:rPr>
                <w:b w:val="0"/>
                <w:bCs w:val="0"/>
                <w:color w:val="222222"/>
                <w:sz w:val="18"/>
                <w:szCs w:val="18"/>
              </w:rPr>
            </w:r>
            <w:r>
              <w:rPr>
                <w:b w:val="0"/>
                <w:bCs w:val="0"/>
                <w:color w:val="222222"/>
                <w:sz w:val="18"/>
                <w:szCs w:val="18"/>
              </w:rPr>
            </w:r>
          </w:p>
        </w:tc>
      </w:tr>
      <w:tr>
        <w:trPr/>
        <w:tc>
          <w:tcPr>
            <w:shd w:val="clear" w:color="f5f8ff" w:fill="f5f8ff"/>
            <w:tcBorders/>
            <w:tcMar>
              <w:left w:w="115" w:type="dxa"/>
              <w:top w:w="60" w:type="dxa"/>
              <w:right w:w="115" w:type="dxa"/>
              <w:bottom w:w="60" w:type="dxa"/>
            </w:tcMar>
            <w:vMerge w:val="restart"/>
          </w:tcPr>
          <w:p w14:paraId="27BC4B2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Sleep (Oxford)</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4BC969F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4.03</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053DCED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1.671</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38B41AEC">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Q1</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3AB93C0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257</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4D78169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Oxford Univ. Press</w:t>
            </w:r>
            <w:r>
              <w:rPr>
                <w:b w:val="0"/>
                <w:bCs w:val="0"/>
                <w:color w:val="222222"/>
                <w:sz w:val="18"/>
                <w:szCs w:val="18"/>
              </w:rPr>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077344E1">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Behavioral Neuroscience; Clinical Psychology; Neurology</w:t>
            </w:r>
            <w:r>
              <w:rPr>
                <w:b w:val="0"/>
                <w:bCs w:val="0"/>
                <w:color w:val="222222"/>
                <w:sz w:val="18"/>
                <w:szCs w:val="18"/>
              </w:rPr>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083D2F0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J. Neural Engineering (JNE)</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1C53094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4.07</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01B5C72B">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1.016</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6AE6CAE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Q1*</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9EC1DA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151</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2629E2EA">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Inst. of Physics</w:t>
            </w:r>
            <w:r>
              <w:rPr>
                <w:b w:val="0"/>
                <w:bCs w:val="0"/>
                <w:color w:val="222222"/>
                <w:sz w:val="18"/>
                <w:szCs w:val="18"/>
              </w:rPr>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16E7DC1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Biomedical Engineering (Q1); Cell &amp; Mol Neuroscience (Q2)</w:t>
            </w:r>
            <w:r>
              <w:rPr>
                <w:b w:val="0"/>
                <w:bCs w:val="0"/>
                <w:color w:val="222222"/>
                <w:sz w:val="18"/>
                <w:szCs w:val="18"/>
              </w:rPr>
            </w:r>
            <w:r>
              <w:rPr>
                <w:b w:val="0"/>
                <w:bCs w:val="0"/>
                <w:color w:val="222222"/>
                <w:sz w:val="18"/>
                <w:szCs w:val="18"/>
              </w:rPr>
            </w:r>
          </w:p>
        </w:tc>
      </w:tr>
    </w:tbl>
    <w:p w14:paraId="686DD56A">
      <w:pPr>
        <w:pBdr/>
        <w:spacing/>
        <w:ind/>
        <w:rPr/>
      </w:pPr>
      <w:r/>
      <w:r/>
    </w:p>
    <w:p w14:paraId="4463FACA">
      <w:pPr>
        <w:pBdr/>
        <w:spacing w:after="160"/>
        <w:ind/>
        <w:rPr/>
      </w:pPr>
      <w:r>
        <w:rPr>
          <w:b w:val="0"/>
          <w:i w:val="0"/>
          <w:color w:val="777777"/>
          <w:sz w:val="18"/>
        </w:rPr>
        <w:t xml:space="preserve">* JNE best quartile Q1 (Biomedical Engineering); Cellular &amp; Molecular Neuroscience is Q2. Source: https://www.resurchify.com — Scimago 2025 data, last updated August 14, 2026.</w:t>
      </w:r>
      <w:r/>
    </w:p>
    <w:p w14:paraId="7A820239">
      <w:pPr>
        <w:pBdr/>
        <w:spacing w:after="120" w:before="200"/>
        <w:ind/>
        <w:rPr/>
      </w:pPr>
      <w:r>
        <w:rPr>
          <w:b/>
          <w:color w:val="17375e"/>
          <w:sz w:val="32"/>
        </w:rPr>
        <w:t xml:space="preserve">3. Ranked Submission Cascade</w:t>
      </w:r>
      <w:r/>
    </w:p>
    <w:p w14:paraId="334822B0">
      <w:pPr>
        <w:pBdr/>
        <w:spacing w:after="100"/>
        <w:ind/>
        <w:rPr/>
      </w:pPr>
      <w:r>
        <w:rPr>
          <w:b w:val="0"/>
          <w:i w:val="0"/>
          <w:color w:val="333333"/>
          <w:sz w:val="22"/>
        </w:rPr>
        <w:t xml:space="preserve">The cascade below is ranked by scope fit and editorial impact. Tier 1 = flagship targets (submit first); Tier 2 = primary targets (if Tier 1 is rejected); Tier 3 = accessible Q1 fallbacks. APC values are approximate public list prices as of October 2026 — verify at the publisher website at time of submission. Scope fit score: 1 (weak) to 5 (exact).</w:t>
      </w:r>
      <w:r/>
    </w:p>
    <w:tbl>
      <w:tblPr>
        <w:tblW w:w="5000" w:type="pct"/>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222"/>
        <w:gridCol w:w="222"/>
        <w:gridCol w:w="222"/>
        <w:gridCol w:w="222"/>
        <w:gridCol w:w="222"/>
        <w:gridCol w:w="222"/>
      </w:tblGrid>
      <w:tr>
        <w:trPr>
          <w:tblHeader/>
        </w:trPr>
        <w:tc>
          <w:tcPr>
            <w:shd w:val="clear" w:color="17375e" w:fill="17375e"/>
            <w:tcBorders/>
            <w:tcMar>
              <w:left w:w="115" w:type="dxa"/>
              <w:top w:w="80" w:type="dxa"/>
              <w:right w:w="115" w:type="dxa"/>
              <w:bottom w:w="80" w:type="dxa"/>
            </w:tcMar>
          </w:tcPr>
          <w:p w14:paraId="3B4339E5">
            <w:pPr>
              <w:pBdr/>
              <w:spacing/>
              <w:ind/>
              <w:jc w:val="center"/>
              <w:rPr>
                <w:b/>
                <w:bCs/>
                <w:color w:val="ffffff"/>
                <w:sz w:val="18"/>
                <w:szCs w:val="18"/>
              </w:rPr>
            </w:pPr>
            <w:r>
              <w:rPr>
                <w:b/>
                <w:bCs/>
                <w:color w:val="ffffff"/>
                <w:sz w:val="18"/>
                <w:szCs w:val="18"/>
              </w:rPr>
            </w:r>
            <w:r>
              <w:rPr>
                <w:b/>
                <w:bCs/>
                <w:color w:val="ffffff"/>
                <w:sz w:val="18"/>
                <w:szCs w:val="18"/>
              </w:rPr>
              <w:t xml:space="preserve">Tier</w:t>
            </w:r>
            <w:r>
              <w:rPr>
                <w:b/>
                <w:bCs/>
                <w:color w:val="ffffff"/>
                <w:sz w:val="18"/>
                <w:szCs w:val="18"/>
              </w:rPr>
            </w:r>
          </w:p>
        </w:tc>
        <w:tc>
          <w:tcPr>
            <w:shd w:val="clear" w:color="17375e" w:fill="17375e"/>
            <w:tcBorders/>
            <w:tcMar>
              <w:left w:w="115" w:type="dxa"/>
              <w:top w:w="80" w:type="dxa"/>
              <w:right w:w="115" w:type="dxa"/>
              <w:bottom w:w="80" w:type="dxa"/>
            </w:tcMar>
          </w:tcPr>
          <w:p w14:paraId="3B5F54D4">
            <w:pPr>
              <w:pBdr/>
              <w:spacing/>
              <w:ind/>
              <w:jc w:val="center"/>
              <w:rPr>
                <w:b/>
                <w:bCs/>
                <w:color w:val="ffffff"/>
                <w:sz w:val="18"/>
                <w:szCs w:val="18"/>
              </w:rPr>
            </w:pPr>
            <w:r>
              <w:rPr>
                <w:b/>
                <w:bCs/>
                <w:color w:val="ffffff"/>
                <w:sz w:val="18"/>
                <w:szCs w:val="18"/>
              </w:rPr>
            </w:r>
            <w:r>
              <w:rPr>
                <w:b/>
                <w:bCs/>
                <w:color w:val="ffffff"/>
                <w:sz w:val="18"/>
                <w:szCs w:val="18"/>
              </w:rPr>
              <w:t xml:space="preserve">Journal</w:t>
            </w:r>
            <w:r>
              <w:rPr>
                <w:b/>
                <w:bCs/>
                <w:color w:val="ffffff"/>
                <w:sz w:val="18"/>
                <w:szCs w:val="18"/>
              </w:rPr>
            </w:r>
          </w:p>
        </w:tc>
        <w:tc>
          <w:tcPr>
            <w:shd w:val="clear" w:color="17375e" w:fill="17375e"/>
            <w:tcBorders/>
            <w:tcMar>
              <w:left w:w="115" w:type="dxa"/>
              <w:top w:w="80" w:type="dxa"/>
              <w:right w:w="115" w:type="dxa"/>
              <w:bottom w:w="80" w:type="dxa"/>
            </w:tcMar>
          </w:tcPr>
          <w:p w14:paraId="56AF043A">
            <w:pPr>
              <w:pBdr/>
              <w:spacing/>
              <w:ind/>
              <w:jc w:val="center"/>
              <w:rPr>
                <w:b/>
                <w:bCs/>
                <w:color w:val="ffffff"/>
                <w:sz w:val="18"/>
                <w:szCs w:val="18"/>
              </w:rPr>
            </w:pPr>
            <w:r>
              <w:rPr>
                <w:b/>
                <w:bCs/>
                <w:color w:val="ffffff"/>
                <w:sz w:val="18"/>
                <w:szCs w:val="18"/>
              </w:rPr>
            </w:r>
            <w:r>
              <w:rPr>
                <w:b/>
                <w:bCs/>
                <w:color w:val="ffffff"/>
                <w:sz w:val="18"/>
                <w:szCs w:val="18"/>
              </w:rPr>
              <w:t xml:space="preserve">Fit</w:t>
            </w:r>
            <w:r>
              <w:rPr>
                <w:b/>
                <w:bCs/>
                <w:color w:val="ffffff"/>
                <w:sz w:val="18"/>
                <w:szCs w:val="18"/>
              </w:rPr>
            </w:r>
          </w:p>
        </w:tc>
        <w:tc>
          <w:tcPr>
            <w:shd w:val="clear" w:color="17375e" w:fill="17375e"/>
            <w:tcBorders/>
            <w:tcMar>
              <w:left w:w="115" w:type="dxa"/>
              <w:top w:w="80" w:type="dxa"/>
              <w:right w:w="115" w:type="dxa"/>
              <w:bottom w:w="80" w:type="dxa"/>
            </w:tcMar>
          </w:tcPr>
          <w:p w14:paraId="07CAA608">
            <w:pPr>
              <w:pBdr/>
              <w:spacing/>
              <w:ind/>
              <w:jc w:val="center"/>
              <w:rPr>
                <w:b/>
                <w:bCs/>
                <w:color w:val="ffffff"/>
                <w:sz w:val="18"/>
                <w:szCs w:val="18"/>
              </w:rPr>
            </w:pPr>
            <w:r>
              <w:rPr>
                <w:b/>
                <w:bCs/>
                <w:color w:val="ffffff"/>
                <w:sz w:val="18"/>
                <w:szCs w:val="18"/>
              </w:rPr>
            </w:r>
            <w:r>
              <w:rPr>
                <w:b/>
                <w:bCs/>
                <w:color w:val="ffffff"/>
                <w:sz w:val="18"/>
                <w:szCs w:val="18"/>
              </w:rPr>
              <w:t xml:space="preserve">Approx. APC (USD)</w:t>
            </w:r>
            <w:r>
              <w:rPr>
                <w:b/>
                <w:bCs/>
                <w:color w:val="ffffff"/>
                <w:sz w:val="18"/>
                <w:szCs w:val="18"/>
              </w:rPr>
            </w:r>
          </w:p>
        </w:tc>
        <w:tc>
          <w:tcPr>
            <w:shd w:val="clear" w:color="17375e" w:fill="17375e"/>
            <w:tcBorders/>
            <w:tcMar>
              <w:left w:w="115" w:type="dxa"/>
              <w:top w:w="80" w:type="dxa"/>
              <w:right w:w="115" w:type="dxa"/>
              <w:bottom w:w="80" w:type="dxa"/>
            </w:tcMar>
          </w:tcPr>
          <w:p w14:paraId="4C325671">
            <w:pPr>
              <w:pBdr/>
              <w:spacing/>
              <w:ind/>
              <w:jc w:val="center"/>
              <w:rPr>
                <w:b/>
                <w:bCs/>
                <w:color w:val="ffffff"/>
                <w:sz w:val="18"/>
                <w:szCs w:val="18"/>
              </w:rPr>
            </w:pPr>
            <w:r>
              <w:rPr>
                <w:b/>
                <w:bCs/>
                <w:color w:val="ffffff"/>
                <w:sz w:val="18"/>
                <w:szCs w:val="18"/>
              </w:rPr>
            </w:r>
            <w:r>
              <w:rPr>
                <w:b/>
                <w:bCs/>
                <w:color w:val="ffffff"/>
                <w:sz w:val="18"/>
                <w:szCs w:val="18"/>
              </w:rPr>
              <w:t xml:space="preserve">Est. Turnaround</w:t>
            </w:r>
            <w:r>
              <w:rPr>
                <w:b/>
                <w:bCs/>
                <w:color w:val="ffffff"/>
                <w:sz w:val="18"/>
                <w:szCs w:val="18"/>
              </w:rPr>
            </w:r>
          </w:p>
        </w:tc>
        <w:tc>
          <w:tcPr>
            <w:shd w:val="clear" w:color="17375e" w:fill="17375e"/>
            <w:tcBorders/>
            <w:tcMar>
              <w:left w:w="115" w:type="dxa"/>
              <w:top w:w="80" w:type="dxa"/>
              <w:right w:w="115" w:type="dxa"/>
              <w:bottom w:w="80" w:type="dxa"/>
            </w:tcMar>
          </w:tcPr>
          <w:p w14:paraId="4FBBF38F">
            <w:pPr>
              <w:pBdr/>
              <w:spacing/>
              <w:ind/>
              <w:jc w:val="center"/>
              <w:rPr>
                <w:b/>
                <w:bCs/>
                <w:color w:val="ffffff"/>
                <w:sz w:val="18"/>
                <w:szCs w:val="18"/>
              </w:rPr>
            </w:pPr>
            <w:r>
              <w:rPr>
                <w:b/>
                <w:bCs/>
                <w:color w:val="ffffff"/>
                <w:sz w:val="18"/>
                <w:szCs w:val="18"/>
              </w:rPr>
            </w:r>
            <w:r>
              <w:rPr>
                <w:b/>
                <w:bCs/>
                <w:color w:val="ffffff"/>
                <w:sz w:val="18"/>
                <w:szCs w:val="18"/>
              </w:rPr>
              <w:t xml:space="preserve">Submission Rationale</w:t>
            </w:r>
            <w:r>
              <w:rPr>
                <w:b/>
                <w:bCs/>
                <w:color w:val="ffffff"/>
                <w:sz w:val="18"/>
                <w:szCs w:val="18"/>
              </w:rPr>
            </w:r>
          </w:p>
        </w:tc>
      </w:tr>
      <w:tr>
        <w:trPr/>
        <w:tc>
          <w:tcPr>
            <w:shd w:val="clear" w:color="f5f8ff" w:fill="f5f8ff"/>
            <w:tcBorders/>
            <w:tcMar>
              <w:left w:w="115" w:type="dxa"/>
              <w:top w:w="60" w:type="dxa"/>
              <w:right w:w="115" w:type="dxa"/>
              <w:bottom w:w="60" w:type="dxa"/>
            </w:tcMar>
            <w:vMerge w:val="restart"/>
          </w:tcPr>
          <w:p w14:paraId="2FA35D1A">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Tier 1</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3F64E1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IEEE JBHI</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8E0BA89">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5/5</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6357F11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~$2,595 (hybrid OA)</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5B8CA14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8-10 weeks</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52C535D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Perfect scope: health informatics + EEG + ML. IEEE flagship, strong precedent for multimodal physiological AI papers.</w:t>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711CDFD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Tier 1</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503B6B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npj Digital Medicine</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A9B77F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4/5</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2F5D8F41">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~$3,590 (OA-only)</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7050E3CB">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6-8 weeks</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52BA8B1B">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Highest-impact venue (IS 18.02). Nature Portfolio prestige. Strong AI+clinical prediction precedent. Ideal for EB-1A evidence.</w:t>
            </w:r>
            <w:r>
              <w:rPr>
                <w:b w:val="0"/>
                <w:bCs w:val="0"/>
                <w:color w:val="222222"/>
                <w:sz w:val="18"/>
                <w:szCs w:val="18"/>
              </w:rPr>
            </w:r>
          </w:p>
        </w:tc>
      </w:tr>
      <w:tr>
        <w:trPr/>
        <w:tc>
          <w:tcPr>
            <w:shd w:val="clear" w:color="f5f8ff" w:fill="f5f8ff"/>
            <w:tcBorders/>
            <w:tcMar>
              <w:left w:w="115" w:type="dxa"/>
              <w:top w:w="60" w:type="dxa"/>
              <w:right w:w="115" w:type="dxa"/>
              <w:bottom w:w="60" w:type="dxa"/>
            </w:tcMar>
            <w:vMerge w:val="restart"/>
          </w:tcPr>
          <w:p w14:paraId="6FE59077">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Tier 2</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34A5DC3A">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AI in Medicine</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094F457">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5/5</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5C7F563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~$3,500 (OA option)</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04071651">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8-12 weeks</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BC26787">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Direct scope fit for AI+clinical prediction pipeline. Longest-running AI+medicine journal; cross-disciplinary prestige.</w:t>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5D19DA83">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Tier 2</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2F376B6A">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JMIR</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646FA62C">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3/5</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0527499C">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~$2,500 (OA-required)</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1220B4E6">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4-6 weeks</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464255A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Fastest turnaround, gold OA, very high visibility (IS 8.53, h=234). Best if population-health and digital-health framing is foregrounded.</w:t>
            </w:r>
            <w:r>
              <w:rPr>
                <w:b w:val="0"/>
                <w:bCs w:val="0"/>
                <w:color w:val="222222"/>
                <w:sz w:val="18"/>
                <w:szCs w:val="18"/>
              </w:rPr>
            </w:r>
          </w:p>
        </w:tc>
      </w:tr>
      <w:tr>
        <w:trPr/>
        <w:tc>
          <w:tcPr>
            <w:shd w:val="clear" w:color="f5f8ff" w:fill="f5f8ff"/>
            <w:tcBorders/>
            <w:tcMar>
              <w:left w:w="115" w:type="dxa"/>
              <w:top w:w="60" w:type="dxa"/>
              <w:right w:w="115" w:type="dxa"/>
              <w:bottom w:w="60" w:type="dxa"/>
            </w:tcMar>
            <w:vMerge w:val="restart"/>
          </w:tcPr>
          <w:p w14:paraId="5D03D23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Tier 3</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281B983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CIBM</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32D10CC">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5/5</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2A31A82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~$3,200 (OA option)</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5B999EC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6-8 weeks</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476C736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Broadest computational medicine scope in the list; tolerates EEG+ML manuscripts with clinical relevance. Elsevier flagship.</w:t>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70A4F819">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Tier 3</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863CCA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BSPC</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2AB5F4C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4/5</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8A2EF5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~$2,800 (OA option)</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2896D07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6-10 weeks</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6AEBBDF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Strong signal-processing + biomedical fit for EEG feature extraction. Ideal if DSP/filtering methodology is foregrounded.</w:t>
            </w:r>
            <w:r>
              <w:rPr>
                <w:b w:val="0"/>
                <w:bCs w:val="0"/>
                <w:color w:val="222222"/>
                <w:sz w:val="18"/>
                <w:szCs w:val="18"/>
              </w:rPr>
            </w:r>
          </w:p>
        </w:tc>
      </w:tr>
      <w:tr>
        <w:trPr/>
        <w:tc>
          <w:tcPr>
            <w:shd w:val="clear" w:color="f5f8ff" w:fill="f5f8ff"/>
            <w:tcBorders/>
            <w:tcMar>
              <w:left w:w="115" w:type="dxa"/>
              <w:top w:w="60" w:type="dxa"/>
              <w:right w:w="115" w:type="dxa"/>
              <w:bottom w:w="60" w:type="dxa"/>
            </w:tcMar>
            <w:vMerge w:val="restart"/>
          </w:tcPr>
          <w:p w14:paraId="4E6C788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Alt.</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562D3463">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Sleep (Oxford)</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0CBBEA29">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3/5</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3DEF85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~$3,250 (OA option)</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63C02639">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8-12 weeks</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FABC51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Oxford flagship for sleep science (h=257). Best choice if clinical sleep disorder / behavioral neuroscience framing is primary.</w:t>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54F98D7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Alt.</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08FAFAC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J. Neural Engineering</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2E0AD6E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3/5</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3C23203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~$2,390 (OA option)</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27CC316B">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8-12 weeks</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29CAAB6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IOP premier neural engineering venue. Best if EEG neural interface framing and electrode-level signal analysis is primary.</w:t>
            </w:r>
            <w:r>
              <w:rPr>
                <w:b w:val="0"/>
                <w:bCs w:val="0"/>
                <w:color w:val="222222"/>
                <w:sz w:val="18"/>
                <w:szCs w:val="18"/>
              </w:rPr>
            </w:r>
          </w:p>
        </w:tc>
      </w:tr>
    </w:tbl>
    <w:p w14:paraId="22ED5157">
      <w:pPr>
        <w:pBdr/>
        <w:spacing/>
        <w:ind/>
        <w:rPr/>
      </w:pPr>
      <w:r/>
    </w:p>
    <w:p w14:paraId="04C861E9">
      <w:pPr>
        <w:pBdr/>
        <w:spacing w:after="160"/>
        <w:ind/>
        <w:rPr/>
      </w:pPr>
      <w:r/>
    </w:p>
    <w:p w14:paraId="5DD738F7">
      <w:pPr>
        <w:pBdr/>
        <w:spacing w:after="120" w:before="200"/>
        <w:ind/>
        <w:rPr/>
      </w:pPr>
      <w:r>
        <w:rPr>
          <w:b/>
          <w:color w:val="17375e"/>
          <w:sz w:val="32"/>
        </w:rPr>
        <w:t xml:space="preserve">4. Comparable Recent Papers (Venue Fit Validation)</w:t>
      </w:r>
      <w:r/>
    </w:p>
    <w:p w14:paraId="5A19DD06">
      <w:pPr>
        <w:pBdr/>
        <w:spacing w:after="100"/>
        <w:ind/>
        <w:rPr/>
      </w:pPr>
      <w:r>
        <w:rPr>
          <w:b w:val="0"/>
          <w:i w:val="0"/>
          <w:color w:val="333333"/>
          <w:sz w:val="22"/>
        </w:rPr>
        <w:t xml:space="preserve">Six close comparators confirm that the target venues publish manuscripts of this type. Each comparator shares at least one modality or modeling choice with our paper but omits the hybrid LSTM-LLM + multimodal EEG-NHANES fusion that constitutes our novel contribution.</w:t>
      </w:r>
      <w:r/>
    </w:p>
    <w:tbl>
      <w:tblPr>
        <w:tblW w:w="5000" w:type="pct"/>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222"/>
        <w:gridCol w:w="222"/>
        <w:gridCol w:w="222"/>
        <w:gridCol w:w="222"/>
        <w:gridCol w:w="222"/>
      </w:tblGrid>
      <w:tr>
        <w:trPr>
          <w:tblHeader/>
        </w:trPr>
        <w:tc>
          <w:tcPr>
            <w:shd w:val="clear" w:color="17375e" w:fill="17375e"/>
            <w:tcBorders/>
            <w:tcMar>
              <w:left w:w="115" w:type="dxa"/>
              <w:top w:w="80" w:type="dxa"/>
              <w:right w:w="115" w:type="dxa"/>
              <w:bottom w:w="80" w:type="dxa"/>
            </w:tcMar>
          </w:tcPr>
          <w:p w14:paraId="2D262E55">
            <w:pPr>
              <w:pBdr/>
              <w:spacing/>
              <w:ind/>
              <w:jc w:val="center"/>
              <w:rPr>
                <w:b/>
                <w:bCs/>
                <w:color w:val="ffffff"/>
                <w:sz w:val="18"/>
                <w:szCs w:val="18"/>
              </w:rPr>
            </w:pPr>
            <w:r>
              <w:rPr>
                <w:b/>
                <w:bCs/>
                <w:color w:val="ffffff"/>
                <w:sz w:val="18"/>
                <w:szCs w:val="18"/>
              </w:rPr>
            </w:r>
            <w:r>
              <w:rPr>
                <w:b/>
                <w:bCs/>
                <w:color w:val="ffffff"/>
                <w:sz w:val="18"/>
                <w:szCs w:val="18"/>
              </w:rPr>
              <w:t xml:space="preserve">Authors / Year</w:t>
            </w:r>
            <w:r>
              <w:rPr>
                <w:b/>
                <w:bCs/>
                <w:color w:val="ffffff"/>
                <w:sz w:val="18"/>
                <w:szCs w:val="18"/>
              </w:rPr>
            </w:r>
          </w:p>
        </w:tc>
        <w:tc>
          <w:tcPr>
            <w:shd w:val="clear" w:color="17375e" w:fill="17375e"/>
            <w:tcBorders/>
            <w:tcMar>
              <w:left w:w="115" w:type="dxa"/>
              <w:top w:w="80" w:type="dxa"/>
              <w:right w:w="115" w:type="dxa"/>
              <w:bottom w:w="80" w:type="dxa"/>
            </w:tcMar>
          </w:tcPr>
          <w:p w14:paraId="27A19AD1">
            <w:pPr>
              <w:pBdr/>
              <w:spacing/>
              <w:ind/>
              <w:jc w:val="center"/>
              <w:rPr>
                <w:b/>
                <w:bCs/>
                <w:color w:val="ffffff"/>
                <w:sz w:val="18"/>
                <w:szCs w:val="18"/>
              </w:rPr>
            </w:pPr>
            <w:r>
              <w:rPr>
                <w:b/>
                <w:bCs/>
                <w:color w:val="ffffff"/>
                <w:sz w:val="18"/>
                <w:szCs w:val="18"/>
              </w:rPr>
            </w:r>
            <w:r>
              <w:rPr>
                <w:b/>
                <w:bCs/>
                <w:color w:val="ffffff"/>
                <w:sz w:val="18"/>
                <w:szCs w:val="18"/>
              </w:rPr>
              <w:t xml:space="preserve">Venue</w:t>
            </w:r>
            <w:r>
              <w:rPr>
                <w:b/>
                <w:bCs/>
                <w:color w:val="ffffff"/>
                <w:sz w:val="18"/>
                <w:szCs w:val="18"/>
              </w:rPr>
            </w:r>
          </w:p>
        </w:tc>
        <w:tc>
          <w:tcPr>
            <w:shd w:val="clear" w:color="17375e" w:fill="17375e"/>
            <w:tcBorders/>
            <w:tcMar>
              <w:left w:w="115" w:type="dxa"/>
              <w:top w:w="80" w:type="dxa"/>
              <w:right w:w="115" w:type="dxa"/>
              <w:bottom w:w="80" w:type="dxa"/>
            </w:tcMar>
          </w:tcPr>
          <w:p w14:paraId="5298AC10">
            <w:pPr>
              <w:pBdr/>
              <w:spacing/>
              <w:ind/>
              <w:jc w:val="center"/>
              <w:rPr>
                <w:b/>
                <w:bCs/>
                <w:color w:val="ffffff"/>
                <w:sz w:val="18"/>
                <w:szCs w:val="18"/>
              </w:rPr>
            </w:pPr>
            <w:r>
              <w:rPr>
                <w:b/>
                <w:bCs/>
                <w:color w:val="ffffff"/>
                <w:sz w:val="18"/>
                <w:szCs w:val="18"/>
              </w:rPr>
            </w:r>
            <w:r>
              <w:rPr>
                <w:b/>
                <w:bCs/>
                <w:color w:val="ffffff"/>
                <w:sz w:val="18"/>
                <w:szCs w:val="18"/>
              </w:rPr>
              <w:t xml:space="preserve">One-Sentence Description</w:t>
            </w:r>
            <w:r>
              <w:rPr>
                <w:b/>
                <w:bCs/>
                <w:color w:val="ffffff"/>
                <w:sz w:val="18"/>
                <w:szCs w:val="18"/>
              </w:rPr>
            </w:r>
          </w:p>
        </w:tc>
        <w:tc>
          <w:tcPr>
            <w:shd w:val="clear" w:color="17375e" w:fill="17375e"/>
            <w:tcBorders/>
            <w:tcMar>
              <w:left w:w="115" w:type="dxa"/>
              <w:top w:w="80" w:type="dxa"/>
              <w:right w:w="115" w:type="dxa"/>
              <w:bottom w:w="80" w:type="dxa"/>
            </w:tcMar>
          </w:tcPr>
          <w:p w14:paraId="2BCD88EF">
            <w:pPr>
              <w:pBdr/>
              <w:spacing/>
              <w:ind/>
              <w:jc w:val="center"/>
              <w:rPr>
                <w:b/>
                <w:bCs/>
                <w:color w:val="ffffff"/>
                <w:sz w:val="18"/>
                <w:szCs w:val="18"/>
              </w:rPr>
            </w:pPr>
            <w:r>
              <w:rPr>
                <w:b/>
                <w:bCs/>
                <w:color w:val="ffffff"/>
                <w:sz w:val="18"/>
                <w:szCs w:val="18"/>
              </w:rPr>
            </w:r>
            <w:r>
              <w:rPr>
                <w:b/>
                <w:bCs/>
                <w:color w:val="ffffff"/>
                <w:sz w:val="18"/>
                <w:szCs w:val="18"/>
              </w:rPr>
              <w:t xml:space="preserve">Key Reported Metric</w:t>
            </w:r>
            <w:r>
              <w:rPr>
                <w:b/>
                <w:bCs/>
                <w:color w:val="ffffff"/>
                <w:sz w:val="18"/>
                <w:szCs w:val="18"/>
              </w:rPr>
            </w:r>
          </w:p>
        </w:tc>
        <w:tc>
          <w:tcPr>
            <w:shd w:val="clear" w:color="17375e" w:fill="17375e"/>
            <w:tcBorders/>
            <w:tcMar>
              <w:left w:w="115" w:type="dxa"/>
              <w:top w:w="80" w:type="dxa"/>
              <w:right w:w="115" w:type="dxa"/>
              <w:bottom w:w="80" w:type="dxa"/>
            </w:tcMar>
          </w:tcPr>
          <w:p w14:paraId="7178D40C">
            <w:pPr>
              <w:pBdr/>
              <w:spacing/>
              <w:ind/>
              <w:jc w:val="center"/>
              <w:rPr>
                <w:b/>
                <w:bCs/>
                <w:color w:val="ffffff"/>
                <w:sz w:val="18"/>
                <w:szCs w:val="18"/>
              </w:rPr>
            </w:pPr>
            <w:r>
              <w:rPr>
                <w:b/>
                <w:bCs/>
                <w:color w:val="ffffff"/>
                <w:sz w:val="18"/>
                <w:szCs w:val="18"/>
              </w:rPr>
            </w:r>
            <w:r>
              <w:rPr>
                <w:b/>
                <w:bCs/>
                <w:color w:val="ffffff"/>
                <w:sz w:val="18"/>
                <w:szCs w:val="18"/>
              </w:rPr>
              <w:t xml:space="preserve">Our Advance Over This Work</w:t>
            </w:r>
            <w:r>
              <w:rPr>
                <w:b/>
                <w:bCs/>
                <w:color w:val="ffffff"/>
                <w:sz w:val="18"/>
                <w:szCs w:val="18"/>
              </w:rPr>
            </w:r>
          </w:p>
        </w:tc>
      </w:tr>
      <w:tr>
        <w:trPr/>
        <w:tc>
          <w:tcPr>
            <w:shd w:val="clear" w:color="f5f8ff" w:fill="f5f8ff"/>
            <w:tcBorders/>
            <w:tcMar>
              <w:left w:w="115" w:type="dxa"/>
              <w:top w:w="60" w:type="dxa"/>
              <w:right w:w="115" w:type="dxa"/>
              <w:bottom w:w="60" w:type="dxa"/>
            </w:tcMar>
            <w:vMerge w:val="restart"/>
          </w:tcPr>
          <w:p w14:paraId="22267BDC">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Sakal et al. 2024</w:t>
              <w:br/>
              <w:t xml:space="preserve">(DOI: 10.1038/s41514-024-00177-x)</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2278CE1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npj Aging</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5070EEA">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NHANES wearable + tree models (CatBoost/XGBoost/RF) to predict poor cognitive test performance.</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358385C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Median AUC &gt;= 0.82 (processing speed / working memory)</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D259E7B">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We add raw EEG biomarkers, LSTM temporal modeling, and LLM-mediated feature fusion — no EEG in Sakal.</w:t>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48A78B9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Ji et al. 2025</w:t>
              <w:br/>
              <w:t xml:space="preserve">(DOI: 10.21203/rs.3.rs-6872563/v1)</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53AC48C7">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Research Square (preprint)</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1011C416">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XGBoost + SHAP on NHANES 2011-2014 survey features to regress multiple cognitive domain scores.</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44362D0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DSST: RMSE=12.473, R^2=0.459</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0848CAB8">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We replace tabular tree ensembles with LSTM temporal modeling and add EEG cross-modal validation.</w:t>
            </w:r>
            <w:r>
              <w:rPr>
                <w:b w:val="0"/>
                <w:bCs w:val="0"/>
                <w:color w:val="222222"/>
                <w:sz w:val="18"/>
                <w:szCs w:val="18"/>
              </w:rPr>
            </w:r>
          </w:p>
        </w:tc>
      </w:tr>
      <w:tr>
        <w:trPr/>
        <w:tc>
          <w:tcPr>
            <w:shd w:val="clear" w:color="f5f8ff" w:fill="f5f8ff"/>
            <w:tcBorders/>
            <w:tcMar>
              <w:left w:w="115" w:type="dxa"/>
              <w:top w:w="60" w:type="dxa"/>
              <w:right w:w="115" w:type="dxa"/>
              <w:bottom w:w="60" w:type="dxa"/>
            </w:tcMar>
            <w:vMerge w:val="restart"/>
          </w:tcPr>
          <w:p w14:paraId="414C8978">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Hong et al. 2024</w:t>
              <w:br/>
              <w:t xml:space="preserve">(DOI: 10.3390/math12203208)</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62AC1B8C">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Mathematics</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C1191B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LSTM trained on sleep lifelog time-series to classify cognitive impairment with SHAP explainability.</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ED562C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AUC=0.92, sensitivity=0.89, specificity=0.80</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89DA3F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We extend LSTM to raw EEG biomarkers and fuse with NHANES population-level survey covariates.</w:t>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5C1047C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Malekzadeh et al. 2024</w:t>
              <w:br/>
              <w:t xml:space="preserve">(DOI: 10.1093/sleep/zsae067.0059)</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21C7096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Sleep (Oxford)</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6787C13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Multi-task transformer on whole-night sleep EEG + covariates to predict binary cognitive status.</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18C5E1BD">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OA=70.21%, F1=71.43% (CASI); OA=70.85%, F1=69.35% (DSCT)</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65A81335">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We add NHANES population-level survey fusion and an LLM feature augmentation layer absent in Malekzadeh.</w:t>
            </w:r>
            <w:r>
              <w:rPr>
                <w:b w:val="0"/>
                <w:bCs w:val="0"/>
                <w:color w:val="222222"/>
                <w:sz w:val="18"/>
                <w:szCs w:val="18"/>
              </w:rPr>
            </w:r>
          </w:p>
        </w:tc>
      </w:tr>
      <w:tr>
        <w:trPr/>
        <w:tc>
          <w:tcPr>
            <w:shd w:val="clear" w:color="f5f8ff" w:fill="f5f8ff"/>
            <w:tcBorders/>
            <w:tcMar>
              <w:left w:w="115" w:type="dxa"/>
              <w:top w:w="60" w:type="dxa"/>
              <w:right w:w="115" w:type="dxa"/>
              <w:bottom w:w="60" w:type="dxa"/>
            </w:tcMar>
            <w:vMerge w:val="restart"/>
          </w:tcPr>
          <w:p w14:paraId="5839BE6F">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Babiloni et al. 2026</w:t>
              <w:br/>
              <w:t xml:space="preserve">(DOI: 10.1016/j.clinph.2026.2111860)</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15DB30B2">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Clinical Neurophysiology</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64564553">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Classical ML on resting-state EEG + APOE + demographics to predict 1-year cognitive decline in ADMCI.</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7194970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74-78% classification accuracy (algorithm-dependent) for 1-yr MMSE change</w:t>
            </w:r>
            <w:r>
              <w:rPr>
                <w:b w:val="0"/>
                <w:bCs w:val="0"/>
                <w:color w:val="222222"/>
                <w:sz w:val="18"/>
                <w:szCs w:val="18"/>
              </w:rPr>
            </w:r>
          </w:p>
        </w:tc>
        <w:tc>
          <w:tcPr>
            <w:shd w:val="clear" w:color="f5f8ff" w:fill="f5f8ff"/>
            <w:tcBorders/>
            <w:tcMar>
              <w:left w:w="115" w:type="dxa"/>
              <w:top w:w="60" w:type="dxa"/>
              <w:right w:w="115" w:type="dxa"/>
              <w:bottom w:w="60" w:type="dxa"/>
            </w:tcMar>
            <w:vMerge w:val="restart"/>
          </w:tcPr>
          <w:p w14:paraId="4AEC5EB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We use deep temporal LSTM on Sleep-EDF / sleep-deprivation EEG and link to NHANES survey — Babiloni uses small clinical cohort + classical ML only.</w:t>
            </w:r>
            <w:r>
              <w:rPr>
                <w:b w:val="0"/>
                <w:bCs w:val="0"/>
                <w:color w:val="222222"/>
                <w:sz w:val="18"/>
                <w:szCs w:val="18"/>
              </w:rPr>
            </w:r>
          </w:p>
        </w:tc>
      </w:tr>
      <w:tr>
        <w:trPr/>
        <w:tc>
          <w:tcPr>
            <w:shd w:val="clear" w:color="ffffff" w:fill="ffffff"/>
            <w:tcBorders/>
            <w:tcMar>
              <w:left w:w="115" w:type="dxa"/>
              <w:top w:w="60" w:type="dxa"/>
              <w:right w:w="115" w:type="dxa"/>
              <w:bottom w:w="60" w:type="dxa"/>
            </w:tcMar>
            <w:vMerge w:val="restart"/>
          </w:tcPr>
          <w:p w14:paraId="1E566149">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Grillenberger et al. 2026</w:t>
              <w:br/>
              <w:t xml:space="preserve">(DOI: 10.1016/j.compbiomed.2026.111538)</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61C64CB0">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Computers in Biology and Medicine</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00BCC9F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Explainable DL attention models for MCI classification and cognitive decline prediction from EEG.</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7B2A2834">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Insufficient detail in abstract for numeric extraction</w:t>
            </w:r>
            <w:r>
              <w:rPr>
                <w:b w:val="0"/>
                <w:bCs w:val="0"/>
                <w:color w:val="222222"/>
                <w:sz w:val="18"/>
                <w:szCs w:val="18"/>
              </w:rPr>
            </w:r>
          </w:p>
        </w:tc>
        <w:tc>
          <w:tcPr>
            <w:shd w:val="clear" w:color="ffffff" w:fill="ffffff"/>
            <w:tcBorders/>
            <w:tcMar>
              <w:left w:w="115" w:type="dxa"/>
              <w:top w:w="60" w:type="dxa"/>
              <w:right w:w="115" w:type="dxa"/>
              <w:bottom w:w="60" w:type="dxa"/>
            </w:tcMar>
            <w:vMerge w:val="restart"/>
          </w:tcPr>
          <w:p w14:paraId="14A750DE">
            <w:pPr>
              <w:pBdr/>
              <w:spacing/>
              <w:ind/>
              <w:jc w:val="left"/>
              <w:rPr>
                <w:b w:val="0"/>
                <w:bCs w:val="0"/>
                <w:color w:val="222222"/>
                <w:sz w:val="18"/>
                <w:szCs w:val="18"/>
              </w:rPr>
            </w:pPr>
            <w:r>
              <w:rPr>
                <w:b w:val="0"/>
                <w:bCs w:val="0"/>
                <w:color w:val="222222"/>
                <w:sz w:val="18"/>
                <w:szCs w:val="18"/>
              </w:rPr>
            </w:r>
            <w:r>
              <w:rPr>
                <w:b w:val="0"/>
                <w:bCs w:val="0"/>
                <w:color w:val="222222"/>
                <w:sz w:val="18"/>
                <w:szCs w:val="18"/>
              </w:rPr>
              <w:t xml:space="preserve">We fuse NHANES survey features via LLM representation learning — Grillenberger uses EEG-only without population-level covariate fusion.</w:t>
            </w:r>
            <w:r>
              <w:rPr>
                <w:b w:val="0"/>
                <w:bCs w:val="0"/>
                <w:color w:val="222222"/>
                <w:sz w:val="18"/>
                <w:szCs w:val="18"/>
              </w:rPr>
            </w:r>
          </w:p>
        </w:tc>
      </w:tr>
    </w:tbl>
    <w:p w14:paraId="4C86EB08">
      <w:pPr>
        <w:pBdr/>
        <w:spacing/>
        <w:ind/>
        <w:rPr/>
      </w:pPr>
      <w:r/>
    </w:p>
    <w:p w14:paraId="0BB1FD74">
      <w:pPr>
        <w:pBdr/>
        <w:spacing w:after="160"/>
        <w:ind/>
        <w:rPr/>
      </w:pPr>
      <w:r/>
    </w:p>
    <w:p w14:paraId="4B20FF18">
      <w:pPr>
        <w:pBdr/>
        <w:spacing w:after="120" w:before="200"/>
        <w:ind/>
        <w:rPr/>
      </w:pPr>
      <w:r>
        <w:rPr>
          <w:b/>
          <w:color w:val="17375e"/>
          <w:sz w:val="32"/>
        </w:rPr>
        <w:t xml:space="preserve">5. EB-1A Extraordinary Ability — Journal Prestige Notes</w:t>
      </w:r>
      <w:r/>
    </w:p>
    <w:p w14:paraId="681E6A51">
      <w:pPr>
        <w:pBdr/>
        <w:spacing w:after="100"/>
        <w:ind/>
        <w:rPr/>
      </w:pPr>
      <w:r>
        <w:rPr>
          <w:b w:val="0"/>
          <w:i w:val="0"/>
          <w:color w:val="333333"/>
          <w:sz w:val="22"/>
        </w:rPr>
        <w:t xml:space="preserve">Publications in the journals below constitute strong documentary evidence under USCIS EB-1A criterion for extraordinary ability, specifically the criterion of published material in professional publications of major significance in the field. Notes are provided per journal for use in petition letters.</w:t>
      </w:r>
      <w:r/>
    </w:p>
    <w:p w14:paraId="27A03009">
      <w:pPr>
        <w:pBdr/>
        <w:spacing w:after="40"/>
        <w:ind/>
        <w:rPr/>
      </w:pPr>
      <w:r>
        <w:rPr>
          <w:b/>
          <w:i w:val="0"/>
          <w:color w:val="17375e"/>
          <w:sz w:val="22"/>
        </w:rPr>
        <w:t xml:space="preserve">IEEE JBHI (IS 8.18, Q1, h=179)</w:t>
      </w:r>
      <w:r/>
    </w:p>
    <w:p w14:paraId="07F16C90">
      <w:pPr>
        <w:pBdr/>
        <w:spacing w:after="100"/>
        <w:ind w:left="360"/>
        <w:rPr/>
      </w:pPr>
      <w:r>
        <w:rPr>
          <w:b w:val="0"/>
          <w:i w:val="0"/>
          <w:color w:val="333333"/>
          <w:sz w:val="21"/>
        </w:rPr>
        <w:t xml:space="preserve">IEEE flagship in biomedical/health informatics — one of the most widely cited journals in the field. Acceptance rate ~23%. Recognition by IEEE is accepted as evidence of top-tier standing by USCIS adjudicators in STEM fields. An IEEE journal publication demonstrates peer-reviewed contribution to a field with global societal relevance (health AI).</w:t>
      </w:r>
      <w:r/>
    </w:p>
    <w:p w14:paraId="478C28CF">
      <w:pPr>
        <w:pBdr/>
        <w:spacing w:after="40"/>
        <w:ind/>
        <w:rPr/>
      </w:pPr>
      <w:r>
        <w:rPr>
          <w:b/>
          <w:i w:val="0"/>
          <w:color w:val="17375e"/>
          <w:sz w:val="22"/>
        </w:rPr>
        <w:t xml:space="preserve">npj Digital Medicine (IS 18.02, Q1, h=130)</w:t>
      </w:r>
      <w:r/>
    </w:p>
    <w:p w14:paraId="4E81401D">
      <w:pPr>
        <w:pBdr/>
        <w:spacing w:after="100"/>
        <w:ind w:left="360"/>
        <w:rPr/>
      </w:pPr>
      <w:r>
        <w:rPr>
          <w:b w:val="0"/>
          <w:i w:val="0"/>
          <w:color w:val="333333"/>
          <w:sz w:val="21"/>
        </w:rPr>
        <w:t xml:space="preserve">Nature Portfolio journal, among the top 1% of digital medicine publications globally by impact. Impact Score 18.02 places it in the same tier as top clinical journals. Nature Portfolio affiliation is widely recognized by adjudicators as extraordinary — Nature/Springer brand is a strong signal for EB-1A petitions and O-1 visa applications.</w:t>
      </w:r>
      <w:r/>
    </w:p>
    <w:p w14:paraId="4883DD83">
      <w:pPr>
        <w:pBdr/>
        <w:spacing w:after="40"/>
        <w:ind/>
        <w:rPr/>
      </w:pPr>
      <w:r>
        <w:rPr>
          <w:b/>
          <w:i w:val="0"/>
          <w:color w:val="17375e"/>
          <w:sz w:val="22"/>
        </w:rPr>
        <w:t xml:space="preserve">Artificial Intelligence in Medicine (IS 9.45, Q1, h=130)</w:t>
      </w:r>
      <w:r/>
    </w:p>
    <w:p w14:paraId="6D451BD6">
      <w:pPr>
        <w:pBdr/>
        <w:spacing w:after="100"/>
        <w:ind w:left="360"/>
        <w:rPr/>
      </w:pPr>
      <w:r>
        <w:rPr>
          <w:b w:val="0"/>
          <w:i w:val="0"/>
          <w:color w:val="333333"/>
          <w:sz w:val="21"/>
        </w:rPr>
        <w:t xml:space="preserve">Longest-running and highest-impact peer-reviewed journal at the AI-clinical medicine intersection. Published since 1987; h-index 130 reflects decades of landmark citations. Demonstrates sustained extraordinary contribution to AI-driven healthcare, an area of recognized national importance.</w:t>
      </w:r>
      <w:r/>
    </w:p>
    <w:p w14:paraId="24F1E002">
      <w:pPr>
        <w:pBdr/>
        <w:spacing w:after="40"/>
        <w:ind/>
        <w:rPr/>
      </w:pPr>
      <w:r>
        <w:rPr>
          <w:b/>
          <w:i w:val="0"/>
          <w:color w:val="17375e"/>
          <w:sz w:val="22"/>
        </w:rPr>
        <w:t xml:space="preserve">JMIR (IS 8.53, Q1, h=234)</w:t>
      </w:r>
      <w:r/>
    </w:p>
    <w:p w14:paraId="42691317">
      <w:pPr>
        <w:pBdr/>
        <w:spacing w:after="100"/>
        <w:ind w:left="360"/>
        <w:rPr/>
      </w:pPr>
      <w:r>
        <w:rPr>
          <w:b w:val="0"/>
          <w:i w:val="0"/>
          <w:color w:val="333333"/>
          <w:sz w:val="21"/>
        </w:rPr>
        <w:t xml:space="preserve">Gold open-access flagship for digital and internet health. h-index 234 is among the highest of any health informatics journal. Open access maximizes citation impact — citation record is usable as additional EB-1A evidence for high citations / significant influence criterion.</w:t>
      </w:r>
      <w:r/>
    </w:p>
    <w:p w14:paraId="196188FF">
      <w:pPr>
        <w:pBdr/>
        <w:spacing w:after="40"/>
        <w:ind/>
        <w:rPr/>
      </w:pPr>
      <w:r>
        <w:rPr>
          <w:b/>
          <w:i w:val="0"/>
          <w:color w:val="17375e"/>
          <w:sz w:val="22"/>
        </w:rPr>
        <w:t xml:space="preserve">CIBM (IS 8.35, Q1, h=164)</w:t>
      </w:r>
      <w:r/>
    </w:p>
    <w:p w14:paraId="7BF31941">
      <w:pPr>
        <w:pBdr/>
        <w:spacing w:after="100"/>
        <w:ind w:left="360"/>
        <w:rPr/>
      </w:pPr>
      <w:r>
        <w:rPr>
          <w:b w:val="0"/>
          <w:i w:val="0"/>
          <w:color w:val="333333"/>
          <w:sz w:val="21"/>
        </w:rPr>
        <w:t xml:space="preserve">Elsevier flagship for computational biology and medicine. Very broad readership across CS and medical communities. Strong signal for cross-disciplinary impact. CIBM publications appear regularly in citation bodies of clinical AI papers cited as landmark evidence in petitions.</w:t>
      </w:r>
      <w:r/>
    </w:p>
    <w:p w14:paraId="6DD4961E">
      <w:pPr>
        <w:pBdr/>
        <w:spacing w:after="40"/>
        <w:ind/>
        <w:rPr/>
      </w:pPr>
      <w:r>
        <w:rPr>
          <w:b/>
          <w:i w:val="0"/>
          <w:color w:val="17375e"/>
          <w:sz w:val="22"/>
        </w:rPr>
        <w:t xml:space="preserve">BSPC (IS 7.99, Q1, h=141)</w:t>
      </w:r>
      <w:r/>
    </w:p>
    <w:p w14:paraId="4BE092BB">
      <w:pPr>
        <w:pBdr/>
        <w:spacing w:after="100"/>
        <w:ind w:left="360"/>
        <w:rPr/>
      </w:pPr>
      <w:r>
        <w:rPr>
          <w:b w:val="0"/>
          <w:i w:val="0"/>
          <w:color w:val="333333"/>
          <w:sz w:val="21"/>
        </w:rPr>
        <w:t xml:space="preserve">Elsevier premier journal in biomedical signal processing. Demonstrates specialized technical mastery in EEG/physiological signal analysis — a niche recognized by EB-1A adjudicators as highly technical and requiring rare expertise. Strong for demonstrating disciplinary leadership.</w:t>
      </w:r>
      <w:r/>
    </w:p>
    <w:p w14:paraId="6CE1CE95">
      <w:pPr>
        <w:pBdr/>
        <w:spacing w:after="40"/>
        <w:ind/>
        <w:rPr/>
      </w:pPr>
      <w:r>
        <w:rPr>
          <w:b/>
          <w:i w:val="0"/>
          <w:color w:val="17375e"/>
          <w:sz w:val="22"/>
        </w:rPr>
        <w:t xml:space="preserve">Sleep / Oxford (IS 4.03, Q1, h=257)</w:t>
      </w:r>
      <w:r/>
    </w:p>
    <w:p w14:paraId="4DDE5CD5">
      <w:pPr>
        <w:pBdr/>
        <w:spacing w:after="100"/>
        <w:ind w:left="360"/>
        <w:rPr/>
      </w:pPr>
      <w:r>
        <w:rPr>
          <w:b w:val="0"/>
          <w:i w:val="0"/>
          <w:color w:val="333333"/>
          <w:sz w:val="21"/>
        </w:rPr>
        <w:t xml:space="preserve">h-index 257 is one of the highest of any journal in this list, reflecting over 30 years of landmark publications. Oxford University Press brand. Sleep science is an NIH priority area. Publication here demonstrates cross-disciplinary impact at the intersection of neuroscience, clinical medicine, and public health — directly supporting national-interest arguments in EB-1A petitions.</w:t>
      </w:r>
      <w:r/>
    </w:p>
    <w:p w14:paraId="32747826">
      <w:pPr>
        <w:pBdr/>
        <w:spacing w:after="40"/>
        <w:ind/>
        <w:rPr/>
      </w:pPr>
      <w:r>
        <w:rPr>
          <w:b/>
          <w:i w:val="0"/>
          <w:color w:val="17375e"/>
          <w:sz w:val="22"/>
        </w:rPr>
        <w:t xml:space="preserve">J. Neural Engineering (IS 4.07, Q1, h=151)</w:t>
      </w:r>
      <w:r/>
    </w:p>
    <w:p w14:paraId="7EBCB702">
      <w:pPr>
        <w:pBdr/>
        <w:spacing w:after="100"/>
        <w:ind w:left="360"/>
        <w:rPr/>
      </w:pPr>
      <w:r>
        <w:rPr>
          <w:b w:val="0"/>
          <w:i w:val="0"/>
          <w:color w:val="333333"/>
          <w:sz w:val="21"/>
        </w:rPr>
        <w:t xml:space="preserve">IOP Publishing premier venue for neural engineering. Publication here demonstrates mastery of a highly specialized technical field (neural interface, EEG signal engineering) with direct translational health applications. Strong for petitions emphasizing engineering-science excellence.</w:t>
      </w:r>
      <w:r/>
    </w:p>
    <w:p w14:paraId="0E2F7E85">
      <w:pPr>
        <w:pBdr/>
        <w:spacing w:after="120"/>
        <w:ind/>
        <w:rPr/>
      </w:pPr>
      <w:r/>
    </w:p>
    <w:p w14:paraId="3533568B">
      <w:pPr>
        <w:pBdr/>
        <w:spacing w:after="120" w:before="200"/>
        <w:ind/>
        <w:rPr/>
      </w:pPr>
      <w:r>
        <w:rPr>
          <w:b/>
          <w:color w:val="17375e"/>
          <w:sz w:val="32"/>
        </w:rPr>
        <w:t xml:space="preserve">6. Stage 1B Verdict</w:t>
      </w:r>
      <w:r/>
    </w:p>
    <w:p w14:paraId="60754CB6">
      <w:pPr>
        <w:pBdr/>
        <w:spacing w:after="80" w:before="80"/>
        <w:ind w:right="360" w:left="360"/>
        <w:rPr/>
      </w:pPr>
      <w:r>
        <w:rPr>
          <w:b/>
          <w:color w:val="007a33"/>
          <w:sz w:val="28"/>
        </w:rPr>
        <w:t xml:space="preserve">VERDICT:  </w:t>
      </w:r>
      <w:r>
        <w:rPr>
          <w:b/>
          <w:color w:val="17375e"/>
          <w:sz w:val="28"/>
        </w:rPr>
        <w:t xml:space="preserve">PROCEED TO STAGE 2 — Data Audit &amp; Cohort Definition</w:t>
      </w:r>
      <w:r/>
    </w:p>
    <w:p w14:paraId="3158E6C8">
      <w:pPr>
        <w:pBdr/>
        <w:spacing w:after="80"/>
        <w:ind/>
        <w:rPr/>
      </w:pPr>
      <w:r/>
    </w:p>
    <w:p w14:paraId="7A400856">
      <w:pPr>
        <w:pBdr/>
        <w:spacing w:after="60"/>
        <w:ind/>
        <w:rPr/>
      </w:pPr>
      <w:r>
        <w:rPr>
          <w:b/>
          <w:i w:val="0"/>
          <w:color w:val="333333"/>
          <w:sz w:val="22"/>
        </w:rPr>
        <w:t xml:space="preserve">Rationale:</w:t>
      </w:r>
      <w:r/>
    </w:p>
    <w:p w14:paraId="341F55FE">
      <w:pPr>
        <w:pBdr/>
        <w:spacing w:after="60"/>
        <w:ind w:hanging="180" w:left="360"/>
        <w:rPr/>
      </w:pPr>
      <w:r>
        <w:rPr>
          <w:b/>
          <w:sz w:val="22"/>
        </w:rPr>
        <w:t xml:space="preserve">•  </w:t>
      </w:r>
      <w:r>
        <w:rPr>
          <w:sz w:val="22"/>
        </w:rPr>
        <w:t xml:space="preserve">Eight Q1 journals confirmed with verified SJR metrics (Scimago via Resurchify, Aug 14 2026 data).</w:t>
      </w:r>
      <w:r/>
    </w:p>
    <w:p w14:paraId="2D122EC6">
      <w:pPr>
        <w:pBdr/>
        <w:spacing w:after="60"/>
        <w:ind w:hanging="180" w:left="360"/>
        <w:rPr/>
      </w:pPr>
      <w:r>
        <w:rPr>
          <w:b/>
          <w:sz w:val="22"/>
        </w:rPr>
        <w:t xml:space="preserve">•  </w:t>
      </w:r>
      <w:r>
        <w:rPr>
          <w:sz w:val="22"/>
        </w:rPr>
        <w:t xml:space="preserve">Submission cascade established: Tier 1 = JBHI + npj Digital Medicine; Tier 2 = AI in Medicine + JMIR; Tier 3 = CIBM + BSPC; with Sleep and JNE as domain-specific alternatives.</w:t>
      </w:r>
      <w:r/>
    </w:p>
    <w:p w14:paraId="5DFF1D89">
      <w:pPr>
        <w:pBdr/>
        <w:spacing w:after="60"/>
        <w:ind w:hanging="180" w:left="360"/>
        <w:rPr/>
      </w:pPr>
      <w:r>
        <w:rPr>
          <w:b/>
          <w:sz w:val="22"/>
        </w:rPr>
        <w:t xml:space="preserve">•  </w:t>
      </w:r>
      <w:r>
        <w:rPr>
          <w:sz w:val="22"/>
        </w:rPr>
        <w:t xml:space="preserve">Six comparable papers confirm venue fit and sharpen the novelty delta (no existing paper fuses NHANES + EEG + LSTM + LLM).</w:t>
      </w:r>
      <w:r/>
    </w:p>
    <w:p w14:paraId="478B956E">
      <w:pPr>
        <w:pBdr/>
        <w:spacing w:after="60"/>
        <w:ind w:hanging="180" w:left="360"/>
        <w:rPr/>
      </w:pPr>
      <w:r>
        <w:rPr>
          <w:b/>
          <w:sz w:val="22"/>
        </w:rPr>
        <w:t xml:space="preserve">•  </w:t>
      </w:r>
      <w:r>
        <w:rPr>
          <w:sz w:val="22"/>
        </w:rPr>
        <w:t xml:space="preserve">EB-1A documentation notes prepared for all 8 candidate journals.</w:t>
      </w:r>
      <w:r/>
    </w:p>
    <w:p w14:paraId="1580781F">
      <w:pPr>
        <w:pBdr/>
        <w:spacing w:after="60"/>
        <w:ind w:hanging="180" w:left="360"/>
        <w:rPr/>
      </w:pPr>
      <w:r>
        <w:rPr>
          <w:b/>
          <w:sz w:val="22"/>
        </w:rPr>
        <w:t xml:space="preserve">•  </w:t>
      </w:r>
      <w:r>
        <w:rPr>
          <w:sz w:val="22"/>
        </w:rPr>
        <w:t xml:space="preserve">Stage 1 Novelty Gate PASS (commit 94fc426) prerequisite satisfied.</w:t>
      </w:r>
      <w:r/>
    </w:p>
    <w:p w14:paraId="127EB480">
      <w:pPr>
        <w:pBdr/>
        <w:spacing w:after="60"/>
        <w:ind w:hanging="180" w:left="360"/>
        <w:rPr/>
      </w:pPr>
      <w:r>
        <w:rPr>
          <w:b/>
          <w:sz w:val="22"/>
        </w:rPr>
        <w:t xml:space="preserve">•  </w:t>
      </w:r>
      <w:r>
        <w:rPr>
          <w:sz w:val="22"/>
        </w:rPr>
        <w:t xml:space="preserve">No blocking issues identified. Proceed to Stage 2: Data Audit &amp; Cohort Definition.</w:t>
      </w:r>
      <w:r/>
    </w:p>
    <w:p w14:paraId="77E905E0">
      <w:pPr>
        <w:pBdr/>
        <w:spacing w:after="120"/>
        <w:ind/>
        <w:rPr/>
      </w:pPr>
      <w:r/>
    </w:p>
    <w:p w14:paraId="11EBB4E8">
      <w:pPr>
        <w:pBdr/>
        <w:spacing w:after="80"/>
        <w:ind/>
        <w:rPr/>
      </w:pPr>
      <w:r>
        <w:rPr>
          <w:b w:val="0"/>
          <w:i/>
          <w:color w:val="555555"/>
          <w:sz w:val="20"/>
        </w:rPr>
        <w:t xml:space="preserve">Next stage: Stage 2 — Data Audit &amp; Cohort Definition (NHANES sleep variables audit, Sleep-EDF channel map, resting-state EEG cohort definition, exclusion criteria, cohort size calculation, external_values.yaml update).</w:t>
      </w:r>
      <w:r/>
    </w:p>
    <w:p w14:paraId="133342AC">
      <w:pPr>
        <w:pBdr/>
        <w:spacing w:after="60"/>
        <w:ind/>
        <w:jc w:val="center"/>
        <w:rPr/>
      </w:pPr>
      <w:r>
        <w:rPr>
          <w:b w:val="0"/>
          <w:i w:val="0"/>
          <w:color w:val="999999"/>
          <w:sz w:val="17"/>
        </w:rPr>
        <w:t xml:space="preserve">Generated by: Scispace Agent  |  Pipeline: Sleep Deprivation -&gt; EEG Cognitive Decline LSTM-LLM  |  GitHub: github.com/learningdebunked/sleep-deprivation  |  October 27, 2026</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2026-10-27T06:59:36Z</dcterms:modified>
</cp:coreProperties>
</file>