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&lt;span lang=‘la’&gt;</w:t>
      </w:r>
      <w:r w:rsidDel="00000000" w:rsidR="00000000" w:rsidRPr="00000000">
        <w:rPr>
          <w:i w:val="1"/>
          <w:rtl w:val="0"/>
        </w:rPr>
        <w:t xml:space="preserve">Lactobacillus acidophilus</w:t>
      </w:r>
      <w:r w:rsidDel="00000000" w:rsidR="00000000" w:rsidRPr="00000000">
        <w:rPr>
          <w:rtl w:val="0"/>
        </w:rPr>
        <w:t xml:space="preserve">&lt;/span&gt;. </w:t>
      </w:r>
      <w:r w:rsidDel="00000000" w:rsidR="00000000" w:rsidRPr="00000000">
        <w:rPr>
          <w:i w:val="1"/>
          <w:rtl w:val="0"/>
        </w:rPr>
        <w:t xml:space="preserve">Wikipédia</w:t>
      </w:r>
      <w:r w:rsidDel="00000000" w:rsidR="00000000" w:rsidRPr="00000000">
        <w:rPr>
          <w:rtl w:val="0"/>
        </w:rPr>
        <w:t xml:space="preserve"> (2016).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1-7 - 260309-133414.pdf.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http://www.stu.edu.vn/uploads/documents/260309-133414.pdf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16-5217.pdf.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http://www.ijapbc.com/files/04-06-16/16-5217.pdf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171.full.pdf.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http://www.biochemj.org/content/ppbiochemj/119/2/171.full.pdf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Development of Dictyostelium discoideum - YouTube. Available at: https://www.youtube.com/watch?v=9zAGp_7Xhss. (Accessed: 6th February 2017)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Dictyostelium Growth. Available at: http://dictybase.org/techniques/media/dicty_growth.html. (Accessed: 6th February 2017)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Brock, D. A., Canas, A., Jones, K., Queller, D. C. &amp; Strassmann, J. E. </w:t>
      </w:r>
      <w:r w:rsidDel="00000000" w:rsidR="00000000" w:rsidRPr="00000000">
        <w:rPr>
          <w:i w:val="1"/>
          <w:rtl w:val="0"/>
        </w:rPr>
        <w:t xml:space="preserve">Exposure to dense bacteria lawns does not cause the social amoeba Dictyostelium discoideum to carry bacteria through the social stage</w:t>
      </w:r>
      <w:r w:rsidDel="00000000" w:rsidR="00000000" w:rsidRPr="00000000">
        <w:rPr>
          <w:rtl w:val="0"/>
        </w:rPr>
        <w:t xml:space="preserve">. (PeerJ Preprints, 2017).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Eto, M. &amp; Nakagawa, A. Identification of a Growth Factor in Tomato Juice for a Newly Isolated Strain of Pediococcus Cerevisiae. </w:t>
      </w:r>
      <w:r w:rsidDel="00000000" w:rsidR="00000000" w:rsidRPr="00000000">
        <w:rPr>
          <w:i w:val="1"/>
          <w:rtl w:val="0"/>
        </w:rPr>
        <w:t xml:space="preserve">Journal of the Institute of Brewing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81,</w:t>
      </w:r>
      <w:r w:rsidDel="00000000" w:rsidR="00000000" w:rsidRPr="00000000">
        <w:rPr>
          <w:rtl w:val="0"/>
        </w:rPr>
        <w:t xml:space="preserve"> 232–236 (1975).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Lactobacillus acidophilus - MicrobeWiki. Available at: https://microbewiki.kenyon.edu/index.php/Lactobacillus_acidophilus#Higher_order_taxa. (Accessed: 9th February 2017)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Microsoft Word - Chemotaxis ass - Hadwiger_Protocol.pdf.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Aufderheide, K. J. &amp; Janetopoulos, C. Migration of Dictyostelium discoideum to the Chemoattractant Folic Acid. </w:t>
      </w:r>
      <w:r w:rsidDel="00000000" w:rsidR="00000000" w:rsidRPr="00000000">
        <w:rPr>
          <w:i w:val="1"/>
          <w:rtl w:val="0"/>
        </w:rPr>
        <w:t xml:space="preserve">Methods Mol. Biol.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1407,</w:t>
      </w:r>
      <w:r w:rsidDel="00000000" w:rsidR="00000000" w:rsidRPr="00000000">
        <w:rPr>
          <w:rtl w:val="0"/>
        </w:rPr>
        <w:t xml:space="preserve"> 25–39 (2016).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>
      <w:pPr>
        <w:spacing w:line="480" w:lineRule="auto"/>
        <w:ind w:left="340" w:right="8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Nouvel onglet. Available at: about:newtab. (Accessed: 9th February 2017)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