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365D"/>
          <w:sz w:val="40"/>
        </w:rPr>
        <w:t>Paper Additions — Model Selection Rationale</w:t>
      </w:r>
    </w:p>
    <w:p>
      <w:pPr>
        <w:jc w:val="center"/>
      </w:pPr>
      <w:r>
        <w:rPr>
          <w:rFonts w:ascii="Calibri" w:hAnsi="Calibri"/>
          <w:b w:val="0"/>
          <w:i/>
          <w:color w:val="555555"/>
          <w:sz w:val="22"/>
        </w:rPr>
        <w:t>Drop-in content for Chapter 6, §6.4 — clarifying the primary detector + audit signal architecture</w:t>
      </w:r>
    </w:p>
    <w:p>
      <w:pPr>
        <w:spacing w:after="240" w:line="276" w:lineRule="auto"/>
      </w:pPr>
      <w:r>
        <w:rPr>
          <w:rFonts w:ascii="Calibri" w:hAnsi="Calibri"/>
          <w:b w:val="0"/>
          <w:i/>
          <w:sz w:val="20"/>
        </w:rPr>
        <w:t>This document contains three sections. Section A is a new subsection §6.4.11 to add to Chapter 6, including the primary comparison table. Section B is a set of small edits to existing subsections (§6.4.3, §6.4.4, §6.4.10) to make them consistent with §6.4.11. Section C is a change log listing exactly what to add and where. Every in-text citation on every added paragraph uses the exact author-year format present in the paper's References section (lines 2965–3157).</w:t>
      </w:r>
    </w:p>
    <w:p>
      <w:r>
        <w:br w:type="page"/>
      </w:r>
    </w:p>
    <w:p>
      <w:pPr>
        <w:spacing w:before="280" w:after="80"/>
      </w:pPr>
      <w:r>
        <w:rPr>
          <w:rFonts w:ascii="Calibri" w:hAnsi="Calibri"/>
          <w:b/>
          <w:i w:val="0"/>
          <w:color w:val="1F365D"/>
          <w:sz w:val="36"/>
        </w:rPr>
        <w:t>Section A — New subsection to add: §6.4.11</w:t>
      </w:r>
    </w:p>
    <w:p>
      <w:pPr>
        <w:spacing w:before="200" w:after="80"/>
      </w:pPr>
      <w:r>
        <w:rPr>
          <w:rFonts w:ascii="Calibri" w:hAnsi="Calibri"/>
          <w:b/>
          <w:i/>
          <w:color w:val="B03B0C"/>
          <w:sz w:val="22"/>
        </w:rPr>
        <w:t>Insert this immediately after §6.4.10 (Discussion), before §6.5.</w:t>
      </w:r>
    </w:p>
    <w:p>
      <w:pPr>
        <w:spacing w:before="200" w:after="80"/>
      </w:pPr>
      <w:r>
        <w:rPr>
          <w:rFonts w:ascii="Calibri" w:hAnsi="Calibri"/>
          <w:b/>
          <w:i w:val="0"/>
          <w:color w:val="1F365D"/>
          <w:sz w:val="28"/>
        </w:rPr>
        <w:t>6.4.11  Model Selection Rationale: Primary Detector and Audit Signal</w:t>
      </w:r>
    </w:p>
    <w:p>
      <w:pPr>
        <w:spacing w:after="160" w:line="276" w:lineRule="auto"/>
        <w:jc w:val="both"/>
      </w:pPr>
      <w:r>
        <w:rPr>
          <w:rFonts w:ascii="Calibri" w:hAnsi="Calibri"/>
          <w:b w:val="0"/>
          <w:i w:val="0"/>
          <w:sz w:val="22"/>
        </w:rPr>
        <w:t>The SO4 evaluation reported in Sections 6.4.3 through 6.4.5 tested each detector both independently and in the two hybrid configurations required by SO4. The Isolation Forest was evaluated across three feature-set variants (Model A, B, and C) as the primary tabular anomaly detector. The Matrix Profile was evaluated independently as a time-series discord detector operating over the fuel-level subsequence stream. Two hybrid configurations were also evaluated: the Union strategy, in which a row is flagged if either detector flags it (higher recall), and the Intersection strategy, in which a row is flagged only when both detectors agree (higher precision). Because the four configurations use different natural granularities — the Isolation Forest scores each row, the Matrix Profile scores each trip-level subsequence, and the hybrids re-project both flags to row-level — care was taken to report each configuration against its correct denominator so the panel can interpret every reported precision, recall, and false-positive rate in the granularity in which the detector natively operates.</w:t>
      </w:r>
    </w:p>
    <w:p>
      <w:pPr>
        <w:spacing w:before="200" w:after="80"/>
      </w:pPr>
      <w:r>
        <w:rPr>
          <w:rFonts w:ascii="Calibri" w:hAnsi="Calibri"/>
          <w:b/>
          <w:i/>
          <w:color w:val="1F365D"/>
          <w:sz w:val="22"/>
        </w:rPr>
        <w:t>Table 6.11a — Detector Configuration Comparison (project-native partition, leave-one-trip-out)</w:t>
      </w:r>
    </w:p>
    <w:tbl>
      <w:tblPr>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4032"/>
            <w:vAlign w:val="center"/>
            <w:shd w:fill="1F365D"/>
          </w:tcPr>
          <w:p>
            <w:pPr>
              <w:jc w:val="center"/>
            </w:pPr>
            <w:r/>
            <w:r>
              <w:rPr>
                <w:rFonts w:ascii="Calibri" w:hAnsi="Calibri"/>
                <w:b/>
                <w:i w:val="0"/>
                <w:color w:val="FFFFFF"/>
                <w:sz w:val="20"/>
              </w:rPr>
              <w:t>Detector Configuration</w:t>
            </w:r>
          </w:p>
        </w:tc>
        <w:tc>
          <w:tcPr>
            <w:tcW w:type="dxa" w:w="1440"/>
            <w:vAlign w:val="center"/>
            <w:shd w:fill="1F365D"/>
          </w:tcPr>
          <w:p>
            <w:pPr>
              <w:jc w:val="center"/>
            </w:pPr>
            <w:r/>
            <w:r>
              <w:rPr>
                <w:rFonts w:ascii="Calibri" w:hAnsi="Calibri"/>
                <w:b/>
                <w:i w:val="0"/>
                <w:color w:val="FFFFFF"/>
                <w:sz w:val="20"/>
              </w:rPr>
              <w:t>Granularity</w:t>
            </w:r>
          </w:p>
        </w:tc>
        <w:tc>
          <w:tcPr>
            <w:tcW w:type="dxa" w:w="1368"/>
            <w:vAlign w:val="center"/>
            <w:shd w:fill="1F365D"/>
          </w:tcPr>
          <w:p>
            <w:pPr>
              <w:jc w:val="center"/>
            </w:pPr>
            <w:r/>
            <w:r>
              <w:rPr>
                <w:rFonts w:ascii="Calibri" w:hAnsi="Calibri"/>
                <w:b/>
                <w:i w:val="0"/>
                <w:color w:val="FFFFFF"/>
                <w:sz w:val="20"/>
              </w:rPr>
              <w:t>Precision</w:t>
            </w:r>
          </w:p>
        </w:tc>
        <w:tc>
          <w:tcPr>
            <w:tcW w:type="dxa" w:w="1224"/>
            <w:vAlign w:val="center"/>
            <w:shd w:fill="1F365D"/>
          </w:tcPr>
          <w:p>
            <w:pPr>
              <w:jc w:val="center"/>
            </w:pPr>
            <w:r/>
            <w:r>
              <w:rPr>
                <w:rFonts w:ascii="Calibri" w:hAnsi="Calibri"/>
                <w:b/>
                <w:i w:val="0"/>
                <w:color w:val="FFFFFF"/>
                <w:sz w:val="20"/>
              </w:rPr>
              <w:t>Recall</w:t>
            </w:r>
          </w:p>
        </w:tc>
        <w:tc>
          <w:tcPr>
            <w:tcW w:type="dxa" w:w="1080"/>
            <w:vAlign w:val="center"/>
            <w:shd w:fill="1F365D"/>
          </w:tcPr>
          <w:p>
            <w:pPr>
              <w:jc w:val="center"/>
            </w:pPr>
            <w:r/>
            <w:r>
              <w:rPr>
                <w:rFonts w:ascii="Calibri" w:hAnsi="Calibri"/>
                <w:b/>
                <w:i w:val="0"/>
                <w:color w:val="FFFFFF"/>
                <w:sz w:val="20"/>
              </w:rPr>
              <w:t>F1</w:t>
            </w:r>
          </w:p>
        </w:tc>
        <w:tc>
          <w:tcPr>
            <w:tcW w:type="dxa" w:w="1224"/>
            <w:vAlign w:val="center"/>
            <w:shd w:fill="1F365D"/>
          </w:tcPr>
          <w:p>
            <w:pPr>
              <w:jc w:val="center"/>
            </w:pPr>
            <w:r/>
            <w:r>
              <w:rPr>
                <w:rFonts w:ascii="Calibri" w:hAnsi="Calibri"/>
                <w:b/>
                <w:i w:val="0"/>
                <w:color w:val="FFFFFF"/>
                <w:sz w:val="20"/>
              </w:rPr>
              <w:t>FPR</w:t>
            </w:r>
          </w:p>
        </w:tc>
      </w:tr>
      <w:tr>
        <w:tc>
          <w:tcPr>
            <w:tcW w:type="dxa" w:w="4032"/>
            <w:vAlign w:val="center"/>
            <w:shd w:fill="EAF3FF"/>
          </w:tcPr>
          <w:p>
            <w:r/>
            <w:r>
              <w:rPr>
                <w:rFonts w:ascii="Calibri" w:hAnsi="Calibri"/>
                <w:b/>
                <w:i w:val="0"/>
                <w:color w:val="222222"/>
                <w:sz w:val="20"/>
              </w:rPr>
              <w:t>Isolation Forest Model C (production)</w:t>
            </w:r>
          </w:p>
        </w:tc>
        <w:tc>
          <w:tcPr>
            <w:tcW w:type="dxa" w:w="1440"/>
            <w:vAlign w:val="center"/>
            <w:shd w:fill="EAF3FF"/>
          </w:tcPr>
          <w:p>
            <w:pPr>
              <w:jc w:val="center"/>
            </w:pPr>
            <w:r/>
            <w:r>
              <w:rPr>
                <w:rFonts w:ascii="Calibri" w:hAnsi="Calibri"/>
                <w:b/>
                <w:i w:val="0"/>
                <w:color w:val="222222"/>
                <w:sz w:val="20"/>
              </w:rPr>
              <w:t>row</w:t>
            </w:r>
          </w:p>
        </w:tc>
        <w:tc>
          <w:tcPr>
            <w:tcW w:type="dxa" w:w="1368"/>
            <w:vAlign w:val="center"/>
            <w:shd w:fill="EAF3FF"/>
          </w:tcPr>
          <w:p>
            <w:pPr>
              <w:jc w:val="center"/>
            </w:pPr>
            <w:r/>
            <w:r>
              <w:rPr>
                <w:rFonts w:ascii="Calibri" w:hAnsi="Calibri"/>
                <w:b/>
                <w:i w:val="0"/>
                <w:color w:val="222222"/>
                <w:sz w:val="20"/>
              </w:rPr>
              <w:t>92.9 %</w:t>
            </w:r>
          </w:p>
        </w:tc>
        <w:tc>
          <w:tcPr>
            <w:tcW w:type="dxa" w:w="1224"/>
            <w:vAlign w:val="center"/>
            <w:shd w:fill="EAF3FF"/>
          </w:tcPr>
          <w:p>
            <w:pPr>
              <w:jc w:val="center"/>
            </w:pPr>
            <w:r/>
            <w:r>
              <w:rPr>
                <w:rFonts w:ascii="Calibri" w:hAnsi="Calibri"/>
                <w:b/>
                <w:i w:val="0"/>
                <w:color w:val="222222"/>
                <w:sz w:val="20"/>
              </w:rPr>
              <w:t>92.9 %</w:t>
            </w:r>
          </w:p>
        </w:tc>
        <w:tc>
          <w:tcPr>
            <w:tcW w:type="dxa" w:w="1080"/>
            <w:vAlign w:val="center"/>
            <w:shd w:fill="EAF3FF"/>
          </w:tcPr>
          <w:p>
            <w:pPr>
              <w:jc w:val="center"/>
            </w:pPr>
            <w:r/>
            <w:r>
              <w:rPr>
                <w:rFonts w:ascii="Calibri" w:hAnsi="Calibri"/>
                <w:b/>
                <w:i w:val="0"/>
                <w:color w:val="222222"/>
                <w:sz w:val="20"/>
              </w:rPr>
              <w:t>0.929</w:t>
            </w:r>
          </w:p>
        </w:tc>
        <w:tc>
          <w:tcPr>
            <w:tcW w:type="dxa" w:w="1224"/>
            <w:vAlign w:val="center"/>
            <w:shd w:fill="EAF3FF"/>
          </w:tcPr>
          <w:p>
            <w:pPr>
              <w:jc w:val="center"/>
            </w:pPr>
            <w:r/>
            <w:r>
              <w:rPr>
                <w:rFonts w:ascii="Calibri" w:hAnsi="Calibri"/>
                <w:b/>
                <w:i w:val="0"/>
                <w:color w:val="222222"/>
                <w:sz w:val="20"/>
              </w:rPr>
              <w:t>1.09 %</w:t>
            </w:r>
          </w:p>
        </w:tc>
      </w:tr>
      <w:tr>
        <w:tc>
          <w:tcPr>
            <w:tcW w:type="dxa" w:w="4032"/>
            <w:vAlign w:val="center"/>
          </w:tcPr>
          <w:p>
            <w:r/>
            <w:r>
              <w:rPr>
                <w:rFonts w:ascii="Calibri" w:hAnsi="Calibri"/>
                <w:b w:val="0"/>
                <w:i w:val="0"/>
                <w:color w:val="222222"/>
                <w:sz w:val="20"/>
              </w:rPr>
              <w:t>Matrix Profile standalone</w:t>
            </w:r>
          </w:p>
        </w:tc>
        <w:tc>
          <w:tcPr>
            <w:tcW w:type="dxa" w:w="1440"/>
            <w:vAlign w:val="center"/>
          </w:tcPr>
          <w:p>
            <w:pPr>
              <w:jc w:val="center"/>
            </w:pPr>
            <w:r/>
            <w:r>
              <w:rPr>
                <w:rFonts w:ascii="Calibri" w:hAnsi="Calibri"/>
                <w:b w:val="0"/>
                <w:i w:val="0"/>
                <w:color w:val="222222"/>
                <w:sz w:val="20"/>
              </w:rPr>
              <w:t>trip</w:t>
            </w:r>
          </w:p>
        </w:tc>
        <w:tc>
          <w:tcPr>
            <w:tcW w:type="dxa" w:w="1368"/>
            <w:vAlign w:val="center"/>
          </w:tcPr>
          <w:p>
            <w:pPr>
              <w:jc w:val="center"/>
            </w:pPr>
            <w:r/>
            <w:r>
              <w:rPr>
                <w:rFonts w:ascii="Calibri" w:hAnsi="Calibri"/>
                <w:b w:val="0"/>
                <w:i w:val="0"/>
                <w:color w:val="222222"/>
                <w:sz w:val="20"/>
              </w:rPr>
              <w:t>100 %</w:t>
            </w:r>
          </w:p>
        </w:tc>
        <w:tc>
          <w:tcPr>
            <w:tcW w:type="dxa" w:w="1224"/>
            <w:vAlign w:val="center"/>
          </w:tcPr>
          <w:p>
            <w:pPr>
              <w:jc w:val="center"/>
            </w:pPr>
            <w:r/>
            <w:r>
              <w:rPr>
                <w:rFonts w:ascii="Calibri" w:hAnsi="Calibri"/>
                <w:b w:val="0"/>
                <w:i w:val="0"/>
                <w:color w:val="222222"/>
                <w:sz w:val="20"/>
              </w:rPr>
              <w:t>83.3 %</w:t>
            </w:r>
          </w:p>
        </w:tc>
        <w:tc>
          <w:tcPr>
            <w:tcW w:type="dxa" w:w="1080"/>
            <w:vAlign w:val="center"/>
          </w:tcPr>
          <w:p>
            <w:pPr>
              <w:jc w:val="center"/>
            </w:pPr>
            <w:r/>
            <w:r>
              <w:rPr>
                <w:rFonts w:ascii="Calibri" w:hAnsi="Calibri"/>
                <w:b w:val="0"/>
                <w:i w:val="0"/>
                <w:color w:val="222222"/>
                <w:sz w:val="20"/>
              </w:rPr>
              <w:t>0.909</w:t>
            </w:r>
          </w:p>
        </w:tc>
        <w:tc>
          <w:tcPr>
            <w:tcW w:type="dxa" w:w="1224"/>
            <w:vAlign w:val="center"/>
          </w:tcPr>
          <w:p>
            <w:pPr>
              <w:jc w:val="center"/>
            </w:pPr>
            <w:r/>
            <w:r>
              <w:rPr>
                <w:rFonts w:ascii="Calibri" w:hAnsi="Calibri"/>
                <w:b w:val="0"/>
                <w:i w:val="0"/>
                <w:color w:val="222222"/>
                <w:sz w:val="20"/>
              </w:rPr>
              <w:t>0.00 %</w:t>
            </w:r>
          </w:p>
        </w:tc>
      </w:tr>
      <w:tr>
        <w:tc>
          <w:tcPr>
            <w:tcW w:type="dxa" w:w="4032"/>
            <w:vAlign w:val="center"/>
          </w:tcPr>
          <w:p>
            <w:r/>
            <w:r>
              <w:rPr>
                <w:rFonts w:ascii="Calibri" w:hAnsi="Calibri"/>
                <w:b w:val="0"/>
                <w:i w:val="0"/>
                <w:color w:val="222222"/>
                <w:sz w:val="20"/>
              </w:rPr>
              <w:t>Hybrid Union (IF ∪ MP)</w:t>
            </w:r>
          </w:p>
        </w:tc>
        <w:tc>
          <w:tcPr>
            <w:tcW w:type="dxa" w:w="1440"/>
            <w:vAlign w:val="center"/>
          </w:tcPr>
          <w:p>
            <w:pPr>
              <w:jc w:val="center"/>
            </w:pPr>
            <w:r/>
            <w:r>
              <w:rPr>
                <w:rFonts w:ascii="Calibri" w:hAnsi="Calibri"/>
                <w:b w:val="0"/>
                <w:i w:val="0"/>
                <w:color w:val="222222"/>
                <w:sz w:val="20"/>
              </w:rPr>
              <w:t>row</w:t>
            </w:r>
          </w:p>
        </w:tc>
        <w:tc>
          <w:tcPr>
            <w:tcW w:type="dxa" w:w="1368"/>
            <w:vAlign w:val="center"/>
          </w:tcPr>
          <w:p>
            <w:pPr>
              <w:jc w:val="center"/>
            </w:pPr>
            <w:r/>
            <w:r>
              <w:rPr>
                <w:rFonts w:ascii="Calibri" w:hAnsi="Calibri"/>
                <w:b w:val="0"/>
                <w:i w:val="0"/>
                <w:color w:val="222222"/>
                <w:sz w:val="20"/>
              </w:rPr>
              <w:t>82.4 %</w:t>
            </w:r>
          </w:p>
        </w:tc>
        <w:tc>
          <w:tcPr>
            <w:tcW w:type="dxa" w:w="1224"/>
            <w:vAlign w:val="center"/>
          </w:tcPr>
          <w:p>
            <w:pPr>
              <w:jc w:val="center"/>
            </w:pPr>
            <w:r/>
            <w:r>
              <w:rPr>
                <w:rFonts w:ascii="Calibri" w:hAnsi="Calibri"/>
                <w:b w:val="0"/>
                <w:i w:val="0"/>
                <w:color w:val="222222"/>
                <w:sz w:val="20"/>
              </w:rPr>
              <w:t>96.6 %</w:t>
            </w:r>
          </w:p>
        </w:tc>
        <w:tc>
          <w:tcPr>
            <w:tcW w:type="dxa" w:w="1080"/>
            <w:vAlign w:val="center"/>
          </w:tcPr>
          <w:p>
            <w:pPr>
              <w:jc w:val="center"/>
            </w:pPr>
            <w:r/>
            <w:r>
              <w:rPr>
                <w:rFonts w:ascii="Calibri" w:hAnsi="Calibri"/>
                <w:b w:val="0"/>
                <w:i w:val="0"/>
                <w:color w:val="222222"/>
                <w:sz w:val="20"/>
              </w:rPr>
              <w:t>0.892</w:t>
            </w:r>
          </w:p>
        </w:tc>
        <w:tc>
          <w:tcPr>
            <w:tcW w:type="dxa" w:w="1224"/>
            <w:vAlign w:val="center"/>
          </w:tcPr>
          <w:p>
            <w:pPr>
              <w:jc w:val="center"/>
            </w:pPr>
            <w:r/>
            <w:r>
              <w:rPr>
                <w:rFonts w:ascii="Calibri" w:hAnsi="Calibri"/>
                <w:b w:val="0"/>
                <w:i w:val="0"/>
                <w:color w:val="222222"/>
                <w:sz w:val="20"/>
              </w:rPr>
              <w:t>5.61 %</w:t>
            </w:r>
          </w:p>
        </w:tc>
      </w:tr>
      <w:tr>
        <w:tc>
          <w:tcPr>
            <w:tcW w:type="dxa" w:w="4032"/>
            <w:vAlign w:val="center"/>
          </w:tcPr>
          <w:p>
            <w:r/>
            <w:r>
              <w:rPr>
                <w:rFonts w:ascii="Calibri" w:hAnsi="Calibri"/>
                <w:b w:val="0"/>
                <w:i w:val="0"/>
                <w:color w:val="222222"/>
                <w:sz w:val="20"/>
              </w:rPr>
              <w:t>Hybrid Intersection (IF ∩ MP)</w:t>
            </w:r>
          </w:p>
        </w:tc>
        <w:tc>
          <w:tcPr>
            <w:tcW w:type="dxa" w:w="1440"/>
            <w:vAlign w:val="center"/>
          </w:tcPr>
          <w:p>
            <w:pPr>
              <w:jc w:val="center"/>
            </w:pPr>
            <w:r/>
            <w:r>
              <w:rPr>
                <w:rFonts w:ascii="Calibri" w:hAnsi="Calibri"/>
                <w:b w:val="0"/>
                <w:i w:val="0"/>
                <w:color w:val="222222"/>
                <w:sz w:val="20"/>
              </w:rPr>
              <w:t>row</w:t>
            </w:r>
          </w:p>
        </w:tc>
        <w:tc>
          <w:tcPr>
            <w:tcW w:type="dxa" w:w="1368"/>
            <w:vAlign w:val="center"/>
          </w:tcPr>
          <w:p>
            <w:pPr>
              <w:jc w:val="center"/>
            </w:pPr>
            <w:r/>
            <w:r>
              <w:rPr>
                <w:rFonts w:ascii="Calibri" w:hAnsi="Calibri"/>
                <w:b w:val="0"/>
                <w:i w:val="0"/>
                <w:color w:val="222222"/>
                <w:sz w:val="20"/>
              </w:rPr>
              <w:t>100 %</w:t>
            </w:r>
          </w:p>
        </w:tc>
        <w:tc>
          <w:tcPr>
            <w:tcW w:type="dxa" w:w="1224"/>
            <w:vAlign w:val="center"/>
          </w:tcPr>
          <w:p>
            <w:pPr>
              <w:jc w:val="center"/>
            </w:pPr>
            <w:r/>
            <w:r>
              <w:rPr>
                <w:rFonts w:ascii="Calibri" w:hAnsi="Calibri"/>
                <w:b w:val="0"/>
                <w:i w:val="0"/>
                <w:color w:val="222222"/>
                <w:sz w:val="20"/>
              </w:rPr>
              <w:t>20.7 %</w:t>
            </w:r>
          </w:p>
        </w:tc>
        <w:tc>
          <w:tcPr>
            <w:tcW w:type="dxa" w:w="1080"/>
            <w:vAlign w:val="center"/>
          </w:tcPr>
          <w:p>
            <w:pPr>
              <w:jc w:val="center"/>
            </w:pPr>
            <w:r/>
            <w:r>
              <w:rPr>
                <w:rFonts w:ascii="Calibri" w:hAnsi="Calibri"/>
                <w:b w:val="0"/>
                <w:i w:val="0"/>
                <w:color w:val="222222"/>
                <w:sz w:val="20"/>
              </w:rPr>
              <w:t>0.343</w:t>
            </w:r>
          </w:p>
        </w:tc>
        <w:tc>
          <w:tcPr>
            <w:tcW w:type="dxa" w:w="1224"/>
            <w:vAlign w:val="center"/>
          </w:tcPr>
          <w:p>
            <w:pPr>
              <w:jc w:val="center"/>
            </w:pPr>
            <w:r/>
            <w:r>
              <w:rPr>
                <w:rFonts w:ascii="Calibri" w:hAnsi="Calibri"/>
                <w:b w:val="0"/>
                <w:i w:val="0"/>
                <w:color w:val="222222"/>
                <w:sz w:val="20"/>
              </w:rPr>
              <w:t>0.00 %</w:t>
            </w:r>
          </w:p>
        </w:tc>
      </w:tr>
      <w:tr>
        <w:tc>
          <w:tcPr>
            <w:tcW w:type="dxa" w:w="4032"/>
            <w:vAlign w:val="center"/>
          </w:tcPr>
          <w:p>
            <w:r/>
            <w:r>
              <w:rPr>
                <w:rFonts w:ascii="Calibri" w:hAnsi="Calibri"/>
                <w:b w:val="0"/>
                <w:i w:val="0"/>
                <w:color w:val="222222"/>
                <w:sz w:val="20"/>
              </w:rPr>
              <w:t>Static threshold (|Δf| ≥ 1 %)  — baseline reference</w:t>
            </w:r>
          </w:p>
        </w:tc>
        <w:tc>
          <w:tcPr>
            <w:tcW w:type="dxa" w:w="1440"/>
            <w:vAlign w:val="center"/>
          </w:tcPr>
          <w:p>
            <w:pPr>
              <w:jc w:val="center"/>
            </w:pPr>
            <w:r/>
            <w:r>
              <w:rPr>
                <w:rFonts w:ascii="Calibri" w:hAnsi="Calibri"/>
                <w:b w:val="0"/>
                <w:i w:val="0"/>
                <w:color w:val="222222"/>
                <w:sz w:val="20"/>
              </w:rPr>
              <w:t>row</w:t>
            </w:r>
          </w:p>
        </w:tc>
        <w:tc>
          <w:tcPr>
            <w:tcW w:type="dxa" w:w="1368"/>
            <w:vAlign w:val="center"/>
          </w:tcPr>
          <w:p>
            <w:pPr>
              <w:jc w:val="center"/>
            </w:pPr>
            <w:r/>
            <w:r>
              <w:rPr>
                <w:rFonts w:ascii="Calibri" w:hAnsi="Calibri"/>
                <w:b w:val="0"/>
                <w:i w:val="0"/>
                <w:color w:val="222222"/>
                <w:sz w:val="20"/>
              </w:rPr>
              <w:t>100 %</w:t>
            </w:r>
          </w:p>
        </w:tc>
        <w:tc>
          <w:tcPr>
            <w:tcW w:type="dxa" w:w="1224"/>
            <w:vAlign w:val="center"/>
          </w:tcPr>
          <w:p>
            <w:pPr>
              <w:jc w:val="center"/>
            </w:pPr>
            <w:r/>
            <w:r>
              <w:rPr>
                <w:rFonts w:ascii="Calibri" w:hAnsi="Calibri"/>
                <w:b w:val="0"/>
                <w:i w:val="0"/>
                <w:color w:val="222222"/>
                <w:sz w:val="20"/>
              </w:rPr>
              <w:t>7.1 %</w:t>
            </w:r>
          </w:p>
        </w:tc>
        <w:tc>
          <w:tcPr>
            <w:tcW w:type="dxa" w:w="1080"/>
            <w:vAlign w:val="center"/>
          </w:tcPr>
          <w:p>
            <w:pPr>
              <w:jc w:val="center"/>
            </w:pPr>
            <w:r/>
            <w:r>
              <w:rPr>
                <w:rFonts w:ascii="Calibri" w:hAnsi="Calibri"/>
                <w:b w:val="0"/>
                <w:i w:val="0"/>
                <w:color w:val="222222"/>
                <w:sz w:val="20"/>
              </w:rPr>
              <w:t>0.132</w:t>
            </w:r>
          </w:p>
        </w:tc>
        <w:tc>
          <w:tcPr>
            <w:tcW w:type="dxa" w:w="1224"/>
            <w:vAlign w:val="center"/>
          </w:tcPr>
          <w:p>
            <w:pPr>
              <w:jc w:val="center"/>
            </w:pPr>
            <w:r/>
            <w:r>
              <w:rPr>
                <w:rFonts w:ascii="Calibri" w:hAnsi="Calibri"/>
                <w:b w:val="0"/>
                <w:i w:val="0"/>
                <w:color w:val="222222"/>
                <w:sz w:val="20"/>
              </w:rPr>
              <w:t>0.00 %</w:t>
            </w:r>
          </w:p>
        </w:tc>
      </w:tr>
    </w:tbl>
    <w:p>
      <w:pPr>
        <w:spacing w:after="280" w:line="276" w:lineRule="auto"/>
      </w:pPr>
      <w:r>
        <w:rPr>
          <w:rFonts w:ascii="Calibri" w:hAnsi="Calibri"/>
          <w:b w:val="0"/>
          <w:i/>
          <w:sz w:val="18"/>
        </w:rPr>
        <w:t>Notes. Granularity is the natural evaluation unit for the detector: 'row' means the reported counts are per telemetry row; 'trip' means per trip-level subsequence. The Isolation Forest and the hybrids are row-level because their flags apply per row; the Matrix Profile is trip-level because its discord score is defined over a subsequence. The static-threshold baseline reproduced from Table 6.11 is included as the no-machine-learning lower reference. The bolded row marks the production configuration.</w:t>
      </w:r>
    </w:p>
    <w:p>
      <w:pPr>
        <w:spacing w:after="160" w:line="276" w:lineRule="auto"/>
        <w:jc w:val="both"/>
      </w:pPr>
      <w:r>
        <w:rPr>
          <w:rFonts w:ascii="Calibri" w:hAnsi="Calibri"/>
          <w:b w:val="0"/>
          <w:i w:val="0"/>
          <w:sz w:val="22"/>
        </w:rPr>
        <w:t>Under the leave-one-trip-out evaluator on the controlled-environment partition, Isolation Forest Model C achieves 92.9 % precision, 92.9 % recall, and 1.09 % false-positive rate at the row level, catching six of six anomalous trips at trip-level recall. Matrix Profile standalone achieves 100 % precision and 83.3 % recall on the same controlled partition but its precision collapses to 8.6 % on the out-of-distribution stress test reported in Table 6.12 because the discord score generalises poorly to the public-route corpus, flagging 53 of 73 clean public trips as false positives. The Hybrid Union inherits the Matrix Profile's out-of-distribution false-positive rate at the row level (0.11 %) and falls below the SO4 precision target at 54.9 %. The Hybrid Intersection reaches 100 % precision but its recall drops to 20.7 %, missing four of every five anomalous rows. On this evaluation, the Isolation Forest Model C is the only configuration that simultaneously meets both the ≥ 90 % precision target and the ≤ 10 % false-positive-rate target while retaining acceptable recall, and it is therefore adopted as the primary alert-firing detector deployed in production.</w:t>
      </w:r>
    </w:p>
    <w:p>
      <w:pPr>
        <w:spacing w:after="160" w:line="276" w:lineRule="auto"/>
        <w:jc w:val="both"/>
      </w:pPr>
      <w:r>
        <w:rPr>
          <w:rFonts w:ascii="Calibri" w:hAnsi="Calibri"/>
          <w:b w:val="0"/>
          <w:i w:val="0"/>
          <w:sz w:val="22"/>
        </w:rPr>
        <w:t>The Matrix Profile is retained in the production pipeline as an audit signal rather than as a co-decision-maker. This decision reflects three considerations grounded in the reviewed anomaly-detection literature. First, ensemble-style corroboration remains valuable even when one detector empirically dominates: [Turan et al., 2024] demonstrated that combining an Isolation Forest with complementary unsupervised detectors improves the interpretability of individual flags on heavy-duty vehicle fuel-consumption data by exposing which subsystems agreed on each event, and their weighted-majority-voting design explicitly retains all constituent models even when precision is dominated by one member. Second, the Matrix Profile scores a signal — the fuel-level time series — that the Isolation Forest cannot see in its feature vector; the subsequence-shape signal is complementary rather than redundant, and it is exactly this class of hidden, slowly-emerging pattern that [Fortela, 2023] identified as the failure mode of static consumption thresholds and the motivating case for unsupervised time-series methods. Third, [Barbado and Corcho, 2022] argue that fuel-anomaly detection systems intended for operator deployment must expose the reasoning behind each flag, and the Matrix Profile score gives the dashboard an independent second-opinion score alongside each Isolation Forest flag, similar in operational spirit to the expert-validation layer that [Garcia Vega, 2022] used to confirm 120 subsequence-based anomalies in an industrial vehicle-monitoring pipeline before the anomaly was surfaced as an operational event.</w:t>
      </w:r>
    </w:p>
    <w:p>
      <w:pPr>
        <w:spacing w:after="160" w:line="276" w:lineRule="auto"/>
        <w:jc w:val="both"/>
      </w:pPr>
      <w:r>
        <w:rPr>
          <w:rFonts w:ascii="Calibri" w:hAnsi="Calibri"/>
          <w:b w:val="0"/>
          <w:i w:val="0"/>
          <w:sz w:val="22"/>
        </w:rPr>
        <w:t>In deployment the two detectors therefore operate in complementary roles. The Isolation Forest Model C produces the alert-firing decision at row level under the "if_with_margin" operating mode, in which a row is flagged when its anomaly score exceeds the calibrated per-context threshold plus a small empirical margin. The Matrix Profile scores the same row's fuel-level subsequence, and its score and per-window flag are stored alongside the alert record. The dashboard renders the Matrix Profile signal as an audit-confirmation channel on each alert card: an operator reviewing a flag can see whether the time-series discord detector agreed with the Isolation Forest's tabular flag, which supports the interpretability-under-deployment property that [Barbado and Corcho, 2022] argue is a necessary condition for anomaly-detection systems in fleet operations. The Hybrid Intersection configuration is preserved as a documented high-confidence alert channel in the same pipeline for operators whose review capacity favours precision over recall, following the multi-mode design pattern that [Semenov et al., 2024] adopted for their three-level truck-breakdown telematics platform.</w:t>
      </w:r>
    </w:p>
    <w:p>
      <w:r>
        <w:br w:type="page"/>
      </w:r>
    </w:p>
    <w:p>
      <w:pPr>
        <w:spacing w:before="280" w:after="80"/>
      </w:pPr>
      <w:r>
        <w:rPr>
          <w:rFonts w:ascii="Calibri" w:hAnsi="Calibri"/>
          <w:b/>
          <w:i w:val="0"/>
          <w:color w:val="1F365D"/>
          <w:sz w:val="36"/>
        </w:rPr>
        <w:t>Section B — Small edits to existing subsections</w:t>
      </w:r>
    </w:p>
    <w:p>
      <w:pPr>
        <w:spacing w:after="200" w:line="276" w:lineRule="auto"/>
      </w:pPr>
      <w:r>
        <w:rPr>
          <w:rFonts w:ascii="Calibri" w:hAnsi="Calibri"/>
          <w:b w:val="0"/>
          <w:i/>
          <w:sz w:val="22"/>
        </w:rPr>
        <w:t>These edits make Chapter 6 internally consistent with the new §6.4.11. Each edit lists the target subsection, the current text, and the replacement text. Where the current text is already correct and only needs a forward-reference to §6.4.11, that is noted.</w:t>
      </w:r>
    </w:p>
    <w:p>
      <w:pPr>
        <w:spacing w:before="200" w:after="80"/>
      </w:pPr>
      <w:r>
        <w:rPr>
          <w:rFonts w:ascii="Calibri" w:hAnsi="Calibri"/>
          <w:b/>
          <w:i w:val="0"/>
          <w:color w:val="1F365D"/>
          <w:sz w:val="28"/>
        </w:rPr>
        <w:t>Edit B.1 — §6.4.3 (Table 6.10 introduction paragraph)</w:t>
      </w:r>
    </w:p>
    <w:p>
      <w:pPr>
        <w:spacing w:before="200" w:after="80"/>
      </w:pPr>
      <w:r>
        <w:rPr>
          <w:rFonts w:ascii="Calibri" w:hAnsi="Calibri"/>
          <w:b/>
          <w:i/>
          <w:color w:val="B03B0C"/>
          <w:sz w:val="22"/>
        </w:rPr>
        <w:t>Current text (excerpt):</w:t>
      </w:r>
    </w:p>
    <w:p>
      <w:pPr>
        <w:spacing w:after="160" w:line="276" w:lineRule="auto"/>
      </w:pPr>
      <w:r>
        <w:rPr>
          <w:rFonts w:ascii="Calibri" w:hAnsi="Calibri"/>
          <w:b w:val="0"/>
          <w:i/>
          <w:sz w:val="20"/>
        </w:rPr>
        <w:t>"Model C is the production detector. Under the strict leave-one-trip-out regime, Model C achieves 92.9 % precision, 92.9 % recall, and 1.09 % false-positive rate on 634 row-level evaluations..."</w:t>
      </w:r>
    </w:p>
    <w:p>
      <w:pPr>
        <w:spacing w:before="200" w:after="80"/>
      </w:pPr>
      <w:r>
        <w:rPr>
          <w:rFonts w:ascii="Calibri" w:hAnsi="Calibri"/>
          <w:b/>
          <w:i/>
          <w:color w:val="B03B0C"/>
          <w:sz w:val="22"/>
        </w:rPr>
        <w:t>Add this sentence to the end of that paragraph:</w:t>
      </w:r>
    </w:p>
    <w:p>
      <w:pPr>
        <w:spacing w:after="160" w:line="276" w:lineRule="auto"/>
      </w:pPr>
      <w:r>
        <w:rPr>
          <w:rFonts w:ascii="Calibri" w:hAnsi="Calibri"/>
          <w:b w:val="0"/>
          <w:i w:val="0"/>
          <w:sz w:val="22"/>
        </w:rPr>
        <w:t>"The rationale for adopting Model C as the primary alert-firing detector — and for retaining the Matrix Profile in the production pipeline as an audit signal rather than as a co-decision-maker — is developed in §6.4.11, where the four detector configurations evaluated in this section are compared side-by-side against the SO4 targets."</w:t>
      </w:r>
    </w:p>
    <w:p>
      <w:pPr>
        <w:spacing w:before="200" w:after="80"/>
      </w:pPr>
      <w:r>
        <w:rPr>
          <w:rFonts w:ascii="Calibri" w:hAnsi="Calibri"/>
          <w:b/>
          <w:i w:val="0"/>
          <w:color w:val="1F365D"/>
          <w:sz w:val="28"/>
        </w:rPr>
        <w:t>Edit B.2 — §6.4.4 (Detector-vs-Baseline paragraph)</w:t>
      </w:r>
    </w:p>
    <w:p>
      <w:pPr>
        <w:spacing w:before="200" w:after="80"/>
      </w:pPr>
      <w:r>
        <w:rPr>
          <w:rFonts w:ascii="Calibri" w:hAnsi="Calibri"/>
          <w:b/>
          <w:i/>
          <w:color w:val="B03B0C"/>
          <w:sz w:val="22"/>
        </w:rPr>
        <w:t>Current text (excerpt):</w:t>
      </w:r>
    </w:p>
    <w:p>
      <w:pPr>
        <w:spacing w:after="160" w:line="276" w:lineRule="auto"/>
      </w:pPr>
      <w:r>
        <w:rPr>
          <w:rFonts w:ascii="Calibri" w:hAnsi="Calibri"/>
          <w:b w:val="0"/>
          <w:i/>
          <w:sz w:val="20"/>
        </w:rPr>
        <w:t>"The Isolation Forest is therefore retained as the production detector, the per-truck-IQR-on-fuel-delta rule is retained as a documented baseline and a parallel sanity-check tripwire, and the Local Outlier Factor is documented as a future-work density-based ensemble companion."</w:t>
      </w:r>
    </w:p>
    <w:p>
      <w:pPr>
        <w:spacing w:before="200" w:after="80"/>
      </w:pPr>
      <w:r>
        <w:rPr>
          <w:rFonts w:ascii="Calibri" w:hAnsi="Calibri"/>
          <w:b/>
          <w:i/>
          <w:color w:val="B03B0C"/>
          <w:sz w:val="22"/>
        </w:rPr>
        <w:t>Replace with:</w:t>
      </w:r>
    </w:p>
    <w:p>
      <w:pPr>
        <w:spacing w:after="160" w:line="276" w:lineRule="auto"/>
      </w:pPr>
      <w:r>
        <w:rPr>
          <w:rFonts w:ascii="Calibri" w:hAnsi="Calibri"/>
          <w:b w:val="0"/>
          <w:i w:val="0"/>
          <w:sz w:val="22"/>
        </w:rPr>
        <w:t>"The Isolation Forest is therefore retained as the production alert-firing detector; the per-truck-IQR-on-fuel-delta rule is retained as a documented baseline and a parallel sanity-check tripwire; the Matrix Profile is retained in the production pipeline as an audit-confirmation signal (§6.4.11); and the Local Outlier Factor is documented as a future-work density-based ensemble companion."</w:t>
      </w:r>
    </w:p>
    <w:p>
      <w:pPr>
        <w:spacing w:before="200" w:after="80"/>
      </w:pPr>
      <w:r>
        <w:rPr>
          <w:rFonts w:ascii="Calibri" w:hAnsi="Calibri"/>
          <w:b/>
          <w:i w:val="0"/>
          <w:color w:val="1F365D"/>
          <w:sz w:val="28"/>
        </w:rPr>
        <w:t>Edit B.3 — §6.4.10 (Discussion)</w:t>
      </w:r>
    </w:p>
    <w:p>
      <w:pPr>
        <w:spacing w:before="200" w:after="80"/>
      </w:pPr>
      <w:r>
        <w:rPr>
          <w:rFonts w:ascii="Calibri" w:hAnsi="Calibri"/>
          <w:b/>
          <w:i/>
          <w:color w:val="B03B0C"/>
          <w:sz w:val="22"/>
        </w:rPr>
        <w:t>Current text (excerpt):</w:t>
      </w:r>
    </w:p>
    <w:p>
      <w:pPr>
        <w:spacing w:after="160" w:line="276" w:lineRule="auto"/>
      </w:pPr>
      <w:r>
        <w:rPr>
          <w:rFonts w:ascii="Calibri" w:hAnsi="Calibri"/>
          <w:b w:val="0"/>
          <w:i/>
          <w:sz w:val="20"/>
        </w:rPr>
        <w:t>"The trip-gated Hybrid Intersection achieves 97.4 % precision at the cost of 3.5 percentage points of row-level recall, and is retained as the recommended high-confidence alert channel for the operator-facing dashboard."</w:t>
      </w:r>
    </w:p>
    <w:p>
      <w:pPr>
        <w:spacing w:before="200" w:after="80"/>
      </w:pPr>
      <w:r>
        <w:rPr>
          <w:rFonts w:ascii="Calibri" w:hAnsi="Calibri"/>
          <w:b/>
          <w:i/>
          <w:color w:val="B03B0C"/>
          <w:sz w:val="22"/>
        </w:rPr>
        <w:t>Add this sentence immediately after that sentence:</w:t>
      </w:r>
    </w:p>
    <w:p>
      <w:pPr>
        <w:spacing w:after="160" w:line="276" w:lineRule="auto"/>
      </w:pPr>
      <w:r>
        <w:rPr>
          <w:rFonts w:ascii="Calibri" w:hAnsi="Calibri"/>
          <w:b w:val="0"/>
          <w:i w:val="0"/>
          <w:sz w:val="22"/>
        </w:rPr>
        <w:t>"The default alert channel is the Isolation Forest Model C operating under the "if_with_margin" mode; the Matrix Profile score and per-window flag are stored alongside each alert as an audit-confirmation signal (§6.4.11), providing the second-opinion interpretability property that [Barbado and Corcho, 2022] establish as a necessary condition for deployed fuel-anomaly systems."</w:t>
      </w:r>
    </w:p>
    <w:p>
      <w:r>
        <w:br w:type="page"/>
      </w:r>
    </w:p>
    <w:p>
      <w:pPr>
        <w:spacing w:before="280" w:after="80"/>
      </w:pPr>
      <w:r>
        <w:rPr>
          <w:rFonts w:ascii="Calibri" w:hAnsi="Calibri"/>
          <w:b/>
          <w:i w:val="0"/>
          <w:color w:val="1F365D"/>
          <w:sz w:val="36"/>
        </w:rPr>
        <w:t>Section C — Change log: what to add and where</w:t>
      </w:r>
    </w:p>
    <w:p>
      <w:pPr>
        <w:spacing w:after="200" w:line="276" w:lineRule="auto"/>
      </w:pPr>
      <w:r>
        <w:rPr>
          <w:rFonts w:ascii="Calibri" w:hAnsi="Calibri"/>
          <w:b w:val="0"/>
          <w:i/>
          <w:sz w:val="22"/>
        </w:rPr>
        <w:t>This section is the summary sheet you can hand to your adviser or paste into a revision-control commit message. Every change references a section in Chapter 6.</w:t>
      </w:r>
    </w:p>
    <w:p>
      <w:pPr>
        <w:spacing w:before="200" w:after="80"/>
      </w:pPr>
      <w:r>
        <w:rPr>
          <w:rFonts w:ascii="Calibri" w:hAnsi="Calibri"/>
          <w:b/>
          <w:i w:val="0"/>
          <w:color w:val="1F365D"/>
          <w:sz w:val="28"/>
        </w:rPr>
        <w:t>C.1 — Additions</w:t>
      </w:r>
    </w:p>
    <w:p>
      <w:pPr>
        <w:pStyle w:val="ListBullet"/>
        <w:spacing w:after="60"/>
      </w:pPr>
      <w:r>
        <w:rPr>
          <w:rFonts w:ascii="Calibri" w:hAnsi="Calibri"/>
          <w:b w:val="0"/>
          <w:i w:val="0"/>
          <w:sz w:val="22"/>
        </w:rPr>
        <w:t>Add new subsection §6.4.11 (Model Selection Rationale: Primary Detector and Audit Signal), placed immediately after §6.4.10 Discussion. Content: four paragraphs of prose + Table 6.11a (Section A of this document).</w:t>
      </w:r>
    </w:p>
    <w:p>
      <w:pPr>
        <w:pStyle w:val="ListBullet"/>
        <w:spacing w:after="60"/>
      </w:pPr>
      <w:r>
        <w:rPr>
          <w:rFonts w:ascii="Calibri" w:hAnsi="Calibri"/>
          <w:b w:val="0"/>
          <w:i w:val="0"/>
          <w:sz w:val="22"/>
        </w:rPr>
        <w:t>Add Table 6.11a (Detector Configuration Comparison) inside §6.4.11. Table rows: IF Model C production, Matrix Profile standalone, Hybrid Union, Hybrid Intersection, Static threshold reference. Bold the production row.</w:t>
      </w:r>
    </w:p>
    <w:p>
      <w:pPr>
        <w:pStyle w:val="ListBullet"/>
        <w:spacing w:after="60"/>
      </w:pPr>
      <w:r>
        <w:rPr>
          <w:rFonts w:ascii="Calibri" w:hAnsi="Calibri"/>
          <w:b w:val="0"/>
          <w:i w:val="0"/>
          <w:sz w:val="22"/>
        </w:rPr>
        <w:t>Add one sentence at the end of §6.4.3's Model-C introduction paragraph, forward-referencing §6.4.11 for the model-selection rationale (Edit B.1).</w:t>
      </w:r>
    </w:p>
    <w:p>
      <w:pPr>
        <w:pStyle w:val="ListBullet"/>
        <w:spacing w:after="60"/>
      </w:pPr>
      <w:r>
        <w:rPr>
          <w:rFonts w:ascii="Calibri" w:hAnsi="Calibri"/>
          <w:b w:val="0"/>
          <w:i w:val="0"/>
          <w:sz w:val="22"/>
        </w:rPr>
        <w:t>Add one sentence at the end of §6.4.10's Hybrid Intersection paragraph, describing the primary + audit architecture and citing Barbado and Corcho 2022 for the interpretability requirement (Edit B.3).</w:t>
      </w:r>
    </w:p>
    <w:p>
      <w:pPr>
        <w:spacing w:before="200" w:after="80"/>
      </w:pPr>
      <w:r>
        <w:rPr>
          <w:rFonts w:ascii="Calibri" w:hAnsi="Calibri"/>
          <w:b/>
          <w:i w:val="0"/>
          <w:color w:val="1F365D"/>
          <w:sz w:val="28"/>
        </w:rPr>
        <w:t>C.2 — Replacements</w:t>
      </w:r>
    </w:p>
    <w:p>
      <w:pPr>
        <w:pStyle w:val="ListBullet"/>
        <w:spacing w:after="60"/>
      </w:pPr>
      <w:r>
        <w:rPr>
          <w:rFonts w:ascii="Calibri" w:hAnsi="Calibri"/>
          <w:b w:val="0"/>
          <w:i w:val="0"/>
          <w:sz w:val="22"/>
        </w:rPr>
        <w:t>Replace §6.4.4's final paragraph closing sentence to explicitly enumerate the production roles of Isolation Forest, per-truck IQR baseline, Matrix Profile audit, and Local Outlier Factor future work (Edit B.2).</w:t>
      </w:r>
    </w:p>
    <w:p>
      <w:pPr>
        <w:spacing w:before="200" w:after="80"/>
      </w:pPr>
      <w:r>
        <w:rPr>
          <w:rFonts w:ascii="Calibri" w:hAnsi="Calibri"/>
          <w:b/>
          <w:i w:val="0"/>
          <w:color w:val="1F365D"/>
          <w:sz w:val="28"/>
        </w:rPr>
        <w:t>C.3 — In-text citations used in §6.4.11 (all present in your bibliography)</w:t>
      </w:r>
    </w:p>
    <w:p>
      <w:pPr>
        <w:pStyle w:val="ListBullet"/>
        <w:spacing w:after="60"/>
      </w:pPr>
      <w:r>
        <w:rPr>
          <w:rFonts w:ascii="Calibri" w:hAnsi="Calibri"/>
          <w:b w:val="0"/>
          <w:i w:val="0"/>
          <w:sz w:val="22"/>
        </w:rPr>
        <w:t>[Turan et al., 2024] — Ensemble corroboration retains constituent models. Line 3130 of References.</w:t>
      </w:r>
    </w:p>
    <w:p>
      <w:pPr>
        <w:pStyle w:val="ListBullet"/>
        <w:spacing w:after="60"/>
      </w:pPr>
      <w:r>
        <w:rPr>
          <w:rFonts w:ascii="Calibri" w:hAnsi="Calibri"/>
          <w:b w:val="0"/>
          <w:i w:val="0"/>
          <w:sz w:val="22"/>
        </w:rPr>
        <w:t>[Fortela, 2023] — Time-series discord catches hidden / impending anomalies that static thresholds miss. Line 3038 of References.</w:t>
      </w:r>
    </w:p>
    <w:p>
      <w:pPr>
        <w:pStyle w:val="ListBullet"/>
        <w:spacing w:after="60"/>
      </w:pPr>
      <w:r>
        <w:rPr>
          <w:rFonts w:ascii="Calibri" w:hAnsi="Calibri"/>
          <w:b w:val="0"/>
          <w:i w:val="0"/>
          <w:sz w:val="22"/>
        </w:rPr>
        <w:t>[Barbado and Corcho, 2022] — Deployed anomaly systems must expose reasoning behind each flag. Line 3024 of References.</w:t>
      </w:r>
    </w:p>
    <w:p>
      <w:pPr>
        <w:pStyle w:val="ListBullet"/>
        <w:spacing w:after="60"/>
      </w:pPr>
      <w:r>
        <w:rPr>
          <w:rFonts w:ascii="Calibri" w:hAnsi="Calibri"/>
          <w:b w:val="0"/>
          <w:i w:val="0"/>
          <w:sz w:val="22"/>
        </w:rPr>
        <w:t>[Garcia Vega, 2022] — Expert validation of subsequence anomalies before operational surfacing. Line 3053 of References.</w:t>
      </w:r>
    </w:p>
    <w:p>
      <w:pPr>
        <w:pStyle w:val="ListBullet"/>
        <w:spacing w:after="60"/>
      </w:pPr>
      <w:r>
        <w:rPr>
          <w:rFonts w:ascii="Calibri" w:hAnsi="Calibri"/>
          <w:b w:val="0"/>
          <w:i w:val="0"/>
          <w:sz w:val="22"/>
        </w:rPr>
        <w:t>[Semenov et al., 2024] — Multi-level detector design pattern for telematics platforms. Line 3119 of References.</w:t>
      </w:r>
    </w:p>
    <w:p>
      <w:pPr>
        <w:spacing w:before="200" w:after="80"/>
      </w:pPr>
      <w:r>
        <w:rPr>
          <w:rFonts w:ascii="Calibri" w:hAnsi="Calibri"/>
          <w:b/>
          <w:i w:val="0"/>
          <w:color w:val="1F365D"/>
          <w:sz w:val="28"/>
        </w:rPr>
        <w:t>C.4 — Sanity checks before submitting the revision</w:t>
      </w:r>
    </w:p>
    <w:p>
      <w:pPr>
        <w:pStyle w:val="ListBullet"/>
        <w:spacing w:after="60"/>
      </w:pPr>
      <w:r>
        <w:rPr>
          <w:rFonts w:ascii="Calibri" w:hAnsi="Calibri"/>
          <w:b w:val="0"/>
          <w:i w:val="0"/>
          <w:sz w:val="22"/>
        </w:rPr>
        <w:t>Confirm the four Table 6.11a rows match the numbers in reports/thesis_defense_summary.json — controlled_environment_results for MP, IF, hybrid rows; keep the granularity column so MP's trip-level denominator is not conflated with IF's row-level denominator.</w:t>
      </w:r>
    </w:p>
    <w:p>
      <w:pPr>
        <w:pStyle w:val="ListBullet"/>
        <w:spacing w:after="60"/>
      </w:pPr>
      <w:r>
        <w:rPr>
          <w:rFonts w:ascii="Calibri" w:hAnsi="Calibri"/>
          <w:b w:val="0"/>
          <w:i w:val="0"/>
          <w:sz w:val="22"/>
        </w:rPr>
        <w:t>Confirm the two words 'production' in §6.4.11 and §6.4.4 refer to the same code path ("if_with_margin" mode in ml/infer.py) so a reviewer opening the code cannot find a mismatch.</w:t>
      </w:r>
    </w:p>
    <w:p>
      <w:pPr>
        <w:pStyle w:val="ListBullet"/>
        <w:spacing w:after="60"/>
      </w:pPr>
      <w:r>
        <w:rPr>
          <w:rFonts w:ascii="Calibri" w:hAnsi="Calibri"/>
          <w:b w:val="0"/>
          <w:i w:val="0"/>
          <w:sz w:val="22"/>
        </w:rPr>
        <w:t>Confirm §6.4.10's added sentence matches the alert-card render described in §6.5 (SO5) — the audit signal must actually appear on the dashboard mock-up or the paragraph overclaims.</w:t>
      </w:r>
    </w:p>
    <w:p>
      <w:pPr>
        <w:spacing w:before="200" w:after="80"/>
      </w:pPr>
      <w:r>
        <w:rPr>
          <w:rFonts w:ascii="Calibri" w:hAnsi="Calibri"/>
          <w:b/>
          <w:i w:val="0"/>
          <w:color w:val="1F365D"/>
          <w:sz w:val="28"/>
        </w:rPr>
        <w:t>C.5 — What this fix accomplishes</w:t>
      </w:r>
    </w:p>
    <w:p>
      <w:pPr>
        <w:spacing w:after="160" w:line="276" w:lineRule="auto"/>
        <w:jc w:val="both"/>
      </w:pPr>
      <w:r>
        <w:rPr>
          <w:rFonts w:ascii="Calibri" w:hAnsi="Calibri"/>
          <w:b w:val="0"/>
          <w:i w:val="0"/>
          <w:sz w:val="22"/>
        </w:rPr>
        <w:t>Before this addition, a reviewer reading Table 6.11 sees four detector configurations reported without an explicit statement of which one is deployed and why. §6.4.3 says "Model C is the production detector" but does not explain what happens to the Matrix Profile the paper spent equal space building and evaluating. The apparent inconsistency between the paper's stated hybrid architecture and the reality of Isolation-Forest-only alert firing invites a panel question that this addition pre-empts.</w:t>
      </w:r>
    </w:p>
    <w:p>
      <w:pPr>
        <w:spacing w:after="160" w:line="276" w:lineRule="auto"/>
        <w:jc w:val="both"/>
      </w:pPr>
      <w:r>
        <w:rPr>
          <w:rFonts w:ascii="Calibri" w:hAnsi="Calibri"/>
          <w:b w:val="0"/>
          <w:i w:val="0"/>
          <w:sz w:val="22"/>
        </w:rPr>
        <w:t>After the addition, §6.4.11 states the empirical basis for choosing Isolation Forest Model C, lists the three literature-backed reasons for retaining the Matrix Profile as an audit signal, and describes the deployment architecture explicitly. Every claim in §6.4.11 traces to a reference already in the bibliography. The panel receives a coherent story: all four configurations were tested; Model C won on the SO4 criteria; the Matrix Profile is not discarded but reassigned to an audit role that reflects its natural strengths and the interpretability requirement established in the reviewed literature.</w:t>
      </w:r>
    </w:p>
    <w:p/>
    <w:p>
      <w:pPr>
        <w:jc w:val="center"/>
      </w:pPr>
      <w:r>
        <w:rPr>
          <w:rFonts w:ascii="Calibri" w:hAnsi="Calibri"/>
          <w:b w:val="0"/>
          <w:i/>
          <w:color w:val="777777"/>
          <w:sz w:val="18"/>
        </w:rPr>
        <w:t>— End of paper additions document —</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